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B3" w:rsidRDefault="00CC3CB3" w:rsidP="00CC3CB3">
      <w:pPr>
        <w:rPr>
          <w:b/>
          <w:bCs/>
          <w:lang w:eastAsia="ru-RU"/>
        </w:rPr>
      </w:pPr>
      <w:r>
        <w:rPr>
          <w:b/>
          <w:bCs/>
          <w:lang w:eastAsia="ru-RU"/>
        </w:rPr>
        <w:t>Правительство РФ инициирует выдачу патентов на изобретения в электронной форме</w:t>
      </w:r>
    </w:p>
    <w:p w:rsidR="00CC3CB3" w:rsidRDefault="00CC3CB3" w:rsidP="00CC3CB3">
      <w:pPr>
        <w:rPr>
          <w:lang w:eastAsia="ru-RU"/>
        </w:rPr>
      </w:pPr>
      <w:r>
        <w:rPr>
          <w:lang w:eastAsia="ru-RU"/>
        </w:rPr>
        <w:t>12 августа 2019</w:t>
      </w:r>
    </w:p>
    <w:p w:rsidR="00CC3CB3" w:rsidRDefault="00CC3CB3" w:rsidP="00CC3CB3">
      <w:pPr>
        <w:rPr>
          <w:lang w:eastAsia="ru-RU"/>
        </w:rPr>
      </w:pPr>
      <w:r>
        <w:rPr>
          <w:lang w:eastAsia="ru-RU"/>
        </w:rPr>
        <w:t>По итогам проведенного правительственного заседания решено одобрить соответствующие поправки в </w:t>
      </w:r>
      <w:hyperlink r:id="rId5" w:history="1">
        <w:r>
          <w:rPr>
            <w:rStyle w:val="a3"/>
            <w:lang w:eastAsia="ru-RU"/>
          </w:rPr>
          <w:t>Гражданский кодекс</w:t>
        </w:r>
      </w:hyperlink>
      <w:r>
        <w:rPr>
          <w:lang w:eastAsia="ru-RU"/>
        </w:rPr>
        <w:t>, направленные на развитие цифровых сервисов в области экспертизы и госрегистрации объектов интеллектуальной собственности. Об этом сообщается на официальном сайте кабинета министров.</w:t>
      </w:r>
    </w:p>
    <w:p w:rsidR="00CC3CB3" w:rsidRDefault="00CC3CB3" w:rsidP="00CC3CB3">
      <w:pPr>
        <w:rPr>
          <w:lang w:eastAsia="ru-RU"/>
        </w:rPr>
      </w:pPr>
      <w:r>
        <w:rPr>
          <w:lang w:eastAsia="ru-RU"/>
        </w:rPr>
        <w:t>Законопроект предусматривает возможность выдачи Роспатентом правообладателю патентов на изобретение, полезную модель и промышленный образец, а также свидетельства о госрегистрации топологии интегральной микросхемы, программы для ЭВМ или базы данных, товарного знака, наименования места происхождения товара в электронной форме. Однако у заявителя будет право выбора удобной для него формы охранных документов – по своему желанию он сможет получить документы в электронной форме или на бумажном носителе.</w:t>
      </w:r>
    </w:p>
    <w:p w:rsidR="00CC3CB3" w:rsidRDefault="00CC3CB3" w:rsidP="00CC3CB3">
      <w:pPr>
        <w:rPr>
          <w:lang w:eastAsia="ru-RU"/>
        </w:rPr>
      </w:pPr>
      <w:r>
        <w:rPr>
          <w:lang w:eastAsia="ru-RU"/>
        </w:rPr>
        <w:t>Кроме того, планируется разрешить прилагать к материалам заявки на объекты интеллектуальной собственности их трехмерные модели в электронной форме. Уточняется, что характеристики и требования к форматам этих моделей утвердит Минэкономразвития России. Такая корректировка будет способствовать реализации действующих норм </w:t>
      </w:r>
      <w:hyperlink r:id="rId6" w:history="1">
        <w:r>
          <w:rPr>
            <w:rStyle w:val="a3"/>
            <w:lang w:eastAsia="ru-RU"/>
          </w:rPr>
          <w:t>ГК РФ</w:t>
        </w:r>
      </w:hyperlink>
      <w:r>
        <w:rPr>
          <w:lang w:eastAsia="ru-RU"/>
        </w:rPr>
        <w:t>, указывающих на содержание в заявке на выдачу патента на объекты интеллектуальной собственности (изобретения, полезные модели, промышленные образцы и товарные знаки) чертежей и других материалов, необходимых для понимания их сущности (</w:t>
      </w:r>
      <w:hyperlink r:id="rId7" w:anchor="block_41375" w:history="1">
        <w:r>
          <w:rPr>
            <w:rStyle w:val="a3"/>
            <w:lang w:eastAsia="ru-RU"/>
          </w:rPr>
          <w:t>ст. 1375 ГК РФ</w:t>
        </w:r>
      </w:hyperlink>
      <w:r>
        <w:rPr>
          <w:lang w:eastAsia="ru-RU"/>
        </w:rPr>
        <w:t>).</w:t>
      </w:r>
    </w:p>
    <w:p w:rsidR="00CC3CB3" w:rsidRDefault="00CC3CB3" w:rsidP="00CC3CB3">
      <w:pPr>
        <w:rPr>
          <w:lang w:eastAsia="ru-RU"/>
        </w:rPr>
      </w:pPr>
      <w:r>
        <w:rPr>
          <w:lang w:eastAsia="ru-RU"/>
        </w:rPr>
        <w:t>В ближайшее время законопроект будет внесен в Госдуму.</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Предпенсионеры также могут воспользоваться льготой по налогу на имущество</w:t>
      </w:r>
    </w:p>
    <w:p w:rsidR="00CC3CB3" w:rsidRDefault="00CC3CB3" w:rsidP="00CC3CB3">
      <w:pPr>
        <w:rPr>
          <w:lang w:eastAsia="ru-RU"/>
        </w:rPr>
      </w:pPr>
      <w:r>
        <w:rPr>
          <w:lang w:eastAsia="ru-RU"/>
        </w:rPr>
        <w:t>12 августа 2019</w:t>
      </w:r>
    </w:p>
    <w:p w:rsidR="00CC3CB3" w:rsidRDefault="00CC3CB3" w:rsidP="00CC3CB3">
      <w:pPr>
        <w:rPr>
          <w:lang w:eastAsia="ru-RU"/>
        </w:rPr>
      </w:pPr>
      <w:r>
        <w:rPr>
          <w:lang w:eastAsia="ru-RU"/>
        </w:rPr>
        <w:t>ФНС России рассказала о том, как получить предпенсионеру льготу по налогу на имущество (</w:t>
      </w:r>
      <w:hyperlink r:id="rId8" w:history="1">
        <w:r>
          <w:rPr>
            <w:rStyle w:val="a3"/>
            <w:lang w:eastAsia="ru-RU"/>
          </w:rPr>
          <w:t>письмо ФНС России от 25 июля 2019 г. № БС-2-21/940@</w:t>
        </w:r>
      </w:hyperlink>
      <w:r>
        <w:rPr>
          <w:lang w:eastAsia="ru-RU"/>
        </w:rPr>
        <w:t>).</w:t>
      </w:r>
    </w:p>
    <w:p w:rsidR="00CC3CB3" w:rsidRDefault="00CC3CB3" w:rsidP="00CC3CB3">
      <w:pPr>
        <w:rPr>
          <w:lang w:eastAsia="ru-RU"/>
        </w:rPr>
      </w:pPr>
      <w:r>
        <w:rPr>
          <w:lang w:eastAsia="ru-RU"/>
        </w:rPr>
        <w:t>Согласно поправкам в налоговом законодательстве, вступившим в силу с 2019 года, предпенсионерам, т. е. лицам, которые соответствовали всем необходимым условиям для начисления пенсии на конец 2018 года, также как и пенсионерам полагается льгота по налогу на имущество (</w:t>
      </w:r>
      <w:hyperlink r:id="rId9" w:anchor="block_40701" w:history="1">
        <w:r>
          <w:rPr>
            <w:rStyle w:val="a3"/>
            <w:lang w:eastAsia="ru-RU"/>
          </w:rPr>
          <w:t>подп. 10.1 п. 1 ст. 407 Налогового кодекса</w:t>
        </w:r>
      </w:hyperlink>
      <w:r>
        <w:rPr>
          <w:lang w:eastAsia="ru-RU"/>
        </w:rPr>
        <w:t>).</w:t>
      </w:r>
    </w:p>
    <w:p w:rsidR="00CC3CB3" w:rsidRDefault="00CC3CB3" w:rsidP="00CC3CB3">
      <w:pPr>
        <w:rPr>
          <w:lang w:eastAsia="ru-RU"/>
        </w:rPr>
      </w:pPr>
      <w:r>
        <w:rPr>
          <w:lang w:eastAsia="ru-RU"/>
        </w:rPr>
        <w:t>Чтобы узнать, является ли гражданин предпенсионером, можно обратиться в территориальный орган ПФР месту жительства или работы. Для этого необходимо подать соответствующий запрос любым из следующих способов:</w:t>
      </w:r>
    </w:p>
    <w:p w:rsidR="00CC3CB3" w:rsidRDefault="00CC3CB3" w:rsidP="00CC3CB3">
      <w:pPr>
        <w:numPr>
          <w:ilvl w:val="0"/>
          <w:numId w:val="1"/>
        </w:numPr>
        <w:rPr>
          <w:rFonts w:eastAsia="Times New Roman"/>
          <w:lang w:eastAsia="ru-RU"/>
        </w:rPr>
      </w:pPr>
      <w:r>
        <w:rPr>
          <w:rFonts w:eastAsia="Times New Roman"/>
          <w:lang w:eastAsia="ru-RU"/>
        </w:rPr>
        <w:t>лично в территориальный орган ПФР;</w:t>
      </w:r>
    </w:p>
    <w:p w:rsidR="00CC3CB3" w:rsidRDefault="00CC3CB3" w:rsidP="00CC3CB3">
      <w:pPr>
        <w:numPr>
          <w:ilvl w:val="0"/>
          <w:numId w:val="1"/>
        </w:numPr>
        <w:rPr>
          <w:rFonts w:eastAsia="Times New Roman"/>
          <w:lang w:eastAsia="ru-RU"/>
        </w:rPr>
      </w:pPr>
      <w:r>
        <w:rPr>
          <w:rFonts w:eastAsia="Times New Roman"/>
          <w:lang w:eastAsia="ru-RU"/>
        </w:rPr>
        <w:t>лично в МФЦ;</w:t>
      </w:r>
    </w:p>
    <w:p w:rsidR="00CC3CB3" w:rsidRDefault="00CC3CB3" w:rsidP="00CC3CB3">
      <w:pPr>
        <w:numPr>
          <w:ilvl w:val="0"/>
          <w:numId w:val="1"/>
        </w:numPr>
        <w:rPr>
          <w:rFonts w:eastAsia="Times New Roman"/>
          <w:lang w:eastAsia="ru-RU"/>
        </w:rPr>
      </w:pPr>
      <w:r>
        <w:rPr>
          <w:rFonts w:eastAsia="Times New Roman"/>
          <w:lang w:eastAsia="ru-RU"/>
        </w:rPr>
        <w:t>направить по почте;</w:t>
      </w:r>
    </w:p>
    <w:p w:rsidR="00CC3CB3" w:rsidRDefault="00CC3CB3" w:rsidP="00CC3CB3">
      <w:pPr>
        <w:numPr>
          <w:ilvl w:val="0"/>
          <w:numId w:val="1"/>
        </w:numPr>
        <w:rPr>
          <w:rFonts w:eastAsia="Times New Roman"/>
          <w:lang w:eastAsia="ru-RU"/>
        </w:rPr>
      </w:pPr>
      <w:r>
        <w:rPr>
          <w:rFonts w:eastAsia="Times New Roman"/>
          <w:lang w:eastAsia="ru-RU"/>
        </w:rPr>
        <w:t>отправить в электронной форме через Единый портал госуслуг (</w:t>
      </w:r>
      <w:hyperlink r:id="rId10" w:history="1">
        <w:r>
          <w:rPr>
            <w:rStyle w:val="a3"/>
            <w:rFonts w:eastAsia="Times New Roman"/>
            <w:lang w:eastAsia="ru-RU"/>
          </w:rPr>
          <w:t>www.gosuslugi.ru</w:t>
        </w:r>
      </w:hyperlink>
      <w:r>
        <w:rPr>
          <w:rFonts w:eastAsia="Times New Roman"/>
          <w:lang w:eastAsia="ru-RU"/>
        </w:rPr>
        <w:t>) или "Личный кабинет застрахованного лица" на официальном сайте ПФР.</w:t>
      </w:r>
    </w:p>
    <w:p w:rsidR="00CC3CB3" w:rsidRDefault="00CC3CB3" w:rsidP="00CC3CB3">
      <w:pPr>
        <w:rPr>
          <w:lang w:eastAsia="ru-RU"/>
        </w:rPr>
      </w:pPr>
      <w:r>
        <w:rPr>
          <w:lang w:eastAsia="ru-RU"/>
        </w:rPr>
        <w:t>Предоставляется вышеуказанное освобождение от уплаты налога с налогового периода 2019 года. Таким правом предпенсионеры могут воспользоваться в отношении одного объекта налогообложения каждого вида:</w:t>
      </w:r>
    </w:p>
    <w:p w:rsidR="00CC3CB3" w:rsidRDefault="00CC3CB3" w:rsidP="00CC3CB3">
      <w:pPr>
        <w:numPr>
          <w:ilvl w:val="0"/>
          <w:numId w:val="2"/>
        </w:numPr>
        <w:rPr>
          <w:rFonts w:eastAsia="Times New Roman"/>
          <w:lang w:eastAsia="ru-RU"/>
        </w:rPr>
      </w:pPr>
      <w:r>
        <w:rPr>
          <w:rFonts w:eastAsia="Times New Roman"/>
          <w:lang w:eastAsia="ru-RU"/>
        </w:rPr>
        <w:t>жилой дом или его часть;</w:t>
      </w:r>
    </w:p>
    <w:p w:rsidR="00CC3CB3" w:rsidRDefault="00CC3CB3" w:rsidP="00CC3CB3">
      <w:pPr>
        <w:numPr>
          <w:ilvl w:val="0"/>
          <w:numId w:val="2"/>
        </w:numPr>
        <w:rPr>
          <w:rFonts w:eastAsia="Times New Roman"/>
          <w:lang w:eastAsia="ru-RU"/>
        </w:rPr>
      </w:pPr>
      <w:r>
        <w:rPr>
          <w:rFonts w:eastAsia="Times New Roman"/>
          <w:lang w:eastAsia="ru-RU"/>
        </w:rPr>
        <w:t>квартира, ее часть или комната;</w:t>
      </w:r>
    </w:p>
    <w:p w:rsidR="00CC3CB3" w:rsidRDefault="00CC3CB3" w:rsidP="00CC3CB3">
      <w:pPr>
        <w:numPr>
          <w:ilvl w:val="0"/>
          <w:numId w:val="2"/>
        </w:numPr>
        <w:rPr>
          <w:rFonts w:eastAsia="Times New Roman"/>
          <w:lang w:eastAsia="ru-RU"/>
        </w:rPr>
      </w:pPr>
      <w:r>
        <w:rPr>
          <w:rFonts w:eastAsia="Times New Roman"/>
          <w:lang w:eastAsia="ru-RU"/>
        </w:rPr>
        <w:t>гараж или машино-место;</w:t>
      </w:r>
    </w:p>
    <w:p w:rsidR="00CC3CB3" w:rsidRDefault="00CC3CB3" w:rsidP="00CC3CB3">
      <w:pPr>
        <w:numPr>
          <w:ilvl w:val="0"/>
          <w:numId w:val="2"/>
        </w:numPr>
        <w:rPr>
          <w:rFonts w:eastAsia="Times New Roman"/>
          <w:lang w:eastAsia="ru-RU"/>
        </w:rPr>
      </w:pPr>
      <w:r>
        <w:rPr>
          <w:rFonts w:eastAsia="Times New Roman"/>
          <w:lang w:eastAsia="ru-RU"/>
        </w:rPr>
        <w:t>хозяйственное строение или сооружение, площадь каждого из которых не превышает 50 кв. м и которые расположены на земельных участках, предоставленных для ведения личного подсобного хозяйства, дачного хозяйства, огородничества, садоводства или индивидуального жилищного строительства;</w:t>
      </w:r>
    </w:p>
    <w:p w:rsidR="00CC3CB3" w:rsidRDefault="00CC3CB3" w:rsidP="00CC3CB3">
      <w:pPr>
        <w:numPr>
          <w:ilvl w:val="0"/>
          <w:numId w:val="2"/>
        </w:numPr>
        <w:rPr>
          <w:rFonts w:eastAsia="Times New Roman"/>
          <w:lang w:eastAsia="ru-RU"/>
        </w:rPr>
      </w:pPr>
      <w:r>
        <w:rPr>
          <w:rFonts w:eastAsia="Times New Roman"/>
          <w:lang w:eastAsia="ru-RU"/>
        </w:rPr>
        <w:t>специально оборудованное помещение или сооружение.</w:t>
      </w:r>
    </w:p>
    <w:p w:rsidR="00CC3CB3" w:rsidRDefault="00CC3CB3" w:rsidP="00CC3CB3">
      <w:pPr>
        <w:rPr>
          <w:lang w:eastAsia="ru-RU"/>
        </w:rPr>
      </w:pPr>
      <w:r>
        <w:rPr>
          <w:lang w:eastAsia="ru-RU"/>
        </w:rPr>
        <w:t>Для получения льготы необходимо представить в налоговый орган по месту жительства или по месту постановки на учет имущества заявление о предоставлении льготы. Кроме того, можно представить и документы, подтверждающие право на налоговую льготу (</w:t>
      </w:r>
      <w:hyperlink r:id="rId11" w:anchor="block_40706" w:history="1">
        <w:r>
          <w:rPr>
            <w:rStyle w:val="a3"/>
            <w:lang w:eastAsia="ru-RU"/>
          </w:rPr>
          <w:t>п. 6 ст. 407 НК РФ</w:t>
        </w:r>
      </w:hyperlink>
      <w:r>
        <w:rPr>
          <w:lang w:eastAsia="ru-RU"/>
        </w:rPr>
        <w:t xml:space="preserve">). Если же заявление и документы не представить, то налог будет рассчитываться инспекторами на </w:t>
      </w:r>
      <w:r>
        <w:rPr>
          <w:lang w:eastAsia="ru-RU"/>
        </w:rPr>
        <w:lastRenderedPageBreak/>
        <w:t>основании данных об объекте налогообложения, а также сведениях о полагающихся льготах, имеющихся в налоговом органе, а также полученным их из других госучреждений.</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Роспотребнадзор указал на опасные параметры банковских кредитов</w:t>
      </w:r>
    </w:p>
    <w:p w:rsidR="00CC3CB3" w:rsidRDefault="00CC3CB3" w:rsidP="00CC3CB3">
      <w:pPr>
        <w:rPr>
          <w:lang w:eastAsia="ru-RU"/>
        </w:rPr>
      </w:pPr>
      <w:r>
        <w:rPr>
          <w:lang w:eastAsia="ru-RU"/>
        </w:rPr>
        <w:t>12 августа 2019</w:t>
      </w:r>
    </w:p>
    <w:p w:rsidR="00CC3CB3" w:rsidRDefault="00CC3CB3" w:rsidP="00CC3CB3">
      <w:pPr>
        <w:rPr>
          <w:lang w:eastAsia="ru-RU"/>
        </w:rPr>
      </w:pPr>
      <w:r>
        <w:rPr>
          <w:lang w:eastAsia="ru-RU"/>
        </w:rPr>
        <w:t>Соответствующий материал появился сегодня на официальном сайте службы. В нем указывается на возможность категорирования банковских кредитов в зависимости от различных критериев: видов заемщиков – компании, банки, физические лица; размеров; сроков – краткосрочные, среднесрочные и долгосрочные; обеспечения – требующие или не требующие залога; методов погашения – долями или единовременно; целей; видов процентных ставок – плавающие или фиксированные, с процентными каникулами или без и т. п.</w:t>
      </w:r>
    </w:p>
    <w:p w:rsidR="00CC3CB3" w:rsidRDefault="00CC3CB3" w:rsidP="00CC3CB3">
      <w:pPr>
        <w:rPr>
          <w:lang w:eastAsia="ru-RU"/>
        </w:rPr>
      </w:pPr>
      <w:r>
        <w:rPr>
          <w:lang w:eastAsia="ru-RU"/>
        </w:rPr>
        <w:t>Кроме того, перечисляются самые опасные для заемщиков параметры. Первый среди них – валюта кредита. Несмотря на общую привлекательность кредитов в иностранной валюте (доллар, евро, фунт, франк) из-за более низких процентных ставок, чем по рублевым кредитам, имеется риск курсовых колебаний на протяжении всего кредитного срока. Поэтому эксперты советуют заемщикам пользоваться валютными кредитами только в том случае, если они получают зарплату в соответствующей валюте.</w:t>
      </w:r>
    </w:p>
    <w:p w:rsidR="00CC3CB3" w:rsidRDefault="00CC3CB3" w:rsidP="00CC3CB3">
      <w:pPr>
        <w:rPr>
          <w:lang w:eastAsia="ru-RU"/>
        </w:rPr>
      </w:pPr>
      <w:r>
        <w:rPr>
          <w:lang w:eastAsia="ru-RU"/>
        </w:rPr>
        <w:t>Второй опасный параметр усматривается в видах процентных ставок. Речь идет о плавающих ставках, привязанных к меняющейся ставке кредитов, по которой банки кредитуют друг друга. "Как правило, в этом случае проценты по кредиту ниже. Но заемщик принимает на себя дополнительный риск: если финансовая система окажется в кризисе, как в 2008-2009 годах, плавающие ставки могут сильно вырасти", – отмечается в сообщении.</w:t>
      </w:r>
    </w:p>
    <w:p w:rsidR="00CC3CB3" w:rsidRDefault="00CC3CB3" w:rsidP="00CC3CB3">
      <w:pPr>
        <w:rPr>
          <w:lang w:eastAsia="ru-RU"/>
        </w:rPr>
      </w:pPr>
      <w:r>
        <w:rPr>
          <w:lang w:eastAsia="ru-RU"/>
        </w:rPr>
        <w:t>Также в числе опасных параметров:</w:t>
      </w:r>
    </w:p>
    <w:p w:rsidR="00CC3CB3" w:rsidRDefault="00CC3CB3" w:rsidP="00CC3CB3">
      <w:pPr>
        <w:numPr>
          <w:ilvl w:val="0"/>
          <w:numId w:val="3"/>
        </w:numPr>
        <w:rPr>
          <w:rFonts w:eastAsia="Times New Roman"/>
          <w:lang w:eastAsia="ru-RU"/>
        </w:rPr>
      </w:pPr>
      <w:r>
        <w:rPr>
          <w:rFonts w:eastAsia="Times New Roman"/>
          <w:lang w:eastAsia="ru-RU"/>
        </w:rPr>
        <w:t>залог (выдача кредитов под залог приобретаемой недвижимости или автомобиля, а также "кредитов на неотложные нужды", которые имеют меньший срок и более высокие процентные ставки);</w:t>
      </w:r>
    </w:p>
    <w:p w:rsidR="00CC3CB3" w:rsidRDefault="00CC3CB3" w:rsidP="00CC3CB3">
      <w:pPr>
        <w:numPr>
          <w:ilvl w:val="0"/>
          <w:numId w:val="3"/>
        </w:numPr>
        <w:rPr>
          <w:rFonts w:eastAsia="Times New Roman"/>
          <w:lang w:eastAsia="ru-RU"/>
        </w:rPr>
      </w:pPr>
      <w:r>
        <w:rPr>
          <w:rFonts w:eastAsia="Times New Roman"/>
          <w:lang w:eastAsia="ru-RU"/>
        </w:rPr>
        <w:t>кредитные карты и карты с овердрафтом (эти инструменты дают возможность тратить больше денег, чем имеется на банковском счете; чтобы разобраться с "подводными камнями" таких кредитов, Роспотребнадзор рекомендует очень внимательно читать договор);</w:t>
      </w:r>
    </w:p>
    <w:p w:rsidR="00CC3CB3" w:rsidRDefault="00CC3CB3" w:rsidP="00CC3CB3">
      <w:pPr>
        <w:numPr>
          <w:ilvl w:val="0"/>
          <w:numId w:val="3"/>
        </w:numPr>
        <w:rPr>
          <w:rFonts w:eastAsia="Times New Roman"/>
          <w:lang w:eastAsia="ru-RU"/>
        </w:rPr>
      </w:pPr>
      <w:r>
        <w:rPr>
          <w:rFonts w:eastAsia="Times New Roman"/>
          <w:lang w:eastAsia="ru-RU"/>
        </w:rPr>
        <w:t>экспресс-кредиты (кредиты, решение о выдаче которых банк принимает почти моментально, обычно в местах покупок; отмечается, что у таких кредитов самые высокие процентные ставки). </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ФАС России намерена усовершенствовать Закон № 223-ФЗ</w:t>
      </w:r>
    </w:p>
    <w:p w:rsidR="00CC3CB3" w:rsidRDefault="00CC3CB3" w:rsidP="00CC3CB3">
      <w:pPr>
        <w:rPr>
          <w:lang w:eastAsia="ru-RU"/>
        </w:rPr>
      </w:pPr>
      <w:r>
        <w:rPr>
          <w:lang w:eastAsia="ru-RU"/>
        </w:rPr>
        <w:t>12 августа 2019</w:t>
      </w:r>
    </w:p>
    <w:p w:rsidR="00CC3CB3" w:rsidRDefault="00CC3CB3" w:rsidP="00CC3CB3">
      <w:pPr>
        <w:rPr>
          <w:lang w:eastAsia="ru-RU"/>
        </w:rPr>
      </w:pPr>
      <w:r>
        <w:rPr>
          <w:lang w:eastAsia="ru-RU"/>
        </w:rPr>
        <w:t>Сегодня антимонопольная служба анонсировала на своем официальном сайте начало работы по совершенствованию Федерального закона от 18 июля 2011 г. № 223-ФЗ "</w:t>
      </w:r>
      <w:hyperlink r:id="rId12" w:history="1">
        <w:r>
          <w:rPr>
            <w:rStyle w:val="a3"/>
            <w:lang w:eastAsia="ru-RU"/>
          </w:rPr>
          <w:t>О закупках товаров, работ, услуг отдельными видами юридических лиц</w:t>
        </w:r>
      </w:hyperlink>
      <w:r>
        <w:rPr>
          <w:lang w:eastAsia="ru-RU"/>
        </w:rPr>
        <w:t>" (далее – Закон № 223-ФЗ).</w:t>
      </w:r>
    </w:p>
    <w:p w:rsidR="00CC3CB3" w:rsidRDefault="00CC3CB3" w:rsidP="00CC3CB3">
      <w:pPr>
        <w:rPr>
          <w:lang w:eastAsia="ru-RU"/>
        </w:rPr>
      </w:pPr>
      <w:r>
        <w:rPr>
          <w:lang w:eastAsia="ru-RU"/>
        </w:rPr>
        <w:t>Необходимость внесения изменений в систему закупок в рамках </w:t>
      </w:r>
      <w:hyperlink r:id="rId13" w:history="1">
        <w:r>
          <w:rPr>
            <w:rStyle w:val="a3"/>
            <w:lang w:eastAsia="ru-RU"/>
          </w:rPr>
          <w:t>Закона № 223-ФЗ</w:t>
        </w:r>
      </w:hyperlink>
      <w:r>
        <w:rPr>
          <w:lang w:eastAsia="ru-RU"/>
        </w:rPr>
        <w:t> эксперты связывают с отсутствием достаточной регламентации таких закупок. "Заказчики и контролирующие органы сейчас полностью свободны в своих действиях и каждый из них понимает, как правильно надо делать по-своему – правил же нет", – подчеркнул заместитель руководителя ФАС России </w:t>
      </w:r>
      <w:r>
        <w:rPr>
          <w:b/>
          <w:bCs/>
          <w:lang w:eastAsia="ru-RU"/>
        </w:rPr>
        <w:t>Михаил Евраев</w:t>
      </w:r>
      <w:r>
        <w:rPr>
          <w:lang w:eastAsia="ru-RU"/>
        </w:rPr>
        <w:t>. Проблемы регулирования системы подтверждают и данные мониторинга – в прошлом году среднее количество заявок на участие в закупке составило 1,64 заявки. Всего за 2018 год в рамках </w:t>
      </w:r>
      <w:hyperlink r:id="rId14" w:history="1">
        <w:r>
          <w:rPr>
            <w:rStyle w:val="a3"/>
            <w:lang w:eastAsia="ru-RU"/>
          </w:rPr>
          <w:t>Закона № 223-ФЗ</w:t>
        </w:r>
      </w:hyperlink>
      <w:r>
        <w:rPr>
          <w:lang w:eastAsia="ru-RU"/>
        </w:rPr>
        <w:t xml:space="preserve"> заключено договоров на сумму более 16,7 трлн руб. При этом самыми распространенными способами определения поставщика являлись закупки иными способами (60% от стоимостного объема) и закупки у единственного поставщика (35% от стоимостного объема). "Эти данные свидетельствуют о том, что существенных изменений в сфере закупок госкомпаний не происходит. Во многих случаях при проведении торгов мы наблюдаем отсутствие конкуренции, контракты заключаются с единственными </w:t>
      </w:r>
      <w:r>
        <w:rPr>
          <w:lang w:eastAsia="ru-RU"/>
        </w:rPr>
        <w:lastRenderedPageBreak/>
        <w:t>поставщиками", – отметил начальник Управления контроля размещения государственного заказа ФАС России </w:t>
      </w:r>
      <w:r>
        <w:rPr>
          <w:b/>
          <w:bCs/>
          <w:lang w:eastAsia="ru-RU"/>
        </w:rPr>
        <w:t>Артём Лобов</w:t>
      </w:r>
      <w:r>
        <w:rPr>
          <w:lang w:eastAsia="ru-RU"/>
        </w:rPr>
        <w:t>.</w:t>
      </w:r>
    </w:p>
    <w:p w:rsidR="00CC3CB3" w:rsidRDefault="00CC3CB3" w:rsidP="00CC3CB3">
      <w:pPr>
        <w:rPr>
          <w:lang w:eastAsia="ru-RU"/>
        </w:rPr>
      </w:pPr>
      <w:r>
        <w:rPr>
          <w:lang w:eastAsia="ru-RU"/>
        </w:rPr>
        <w:t>Кроме того, выделены ключевые проблемы, которые приводят к снижению эффективности закупочных процедур в рамках </w:t>
      </w:r>
      <w:hyperlink r:id="rId15" w:history="1">
        <w:r>
          <w:rPr>
            <w:rStyle w:val="a3"/>
            <w:lang w:eastAsia="ru-RU"/>
          </w:rPr>
          <w:t>Закона № 223-ФЗ</w:t>
        </w:r>
      </w:hyperlink>
      <w:r>
        <w:rPr>
          <w:lang w:eastAsia="ru-RU"/>
        </w:rPr>
        <w:t>. В их числе – отсутствие единых требований к участникам закупок, требований к составу заявок, а также единых требований к порядку оценки заявок. Также указывается на неограниченное право осуществления закупок у единственного поставщика и изменение условий договора.</w:t>
      </w:r>
    </w:p>
    <w:p w:rsidR="00CC3CB3" w:rsidRDefault="00CC3CB3" w:rsidP="00CC3CB3">
      <w:pPr>
        <w:rPr>
          <w:lang w:eastAsia="ru-RU"/>
        </w:rPr>
      </w:pPr>
      <w:r>
        <w:rPr>
          <w:lang w:eastAsia="ru-RU"/>
        </w:rPr>
        <w:t>Предполагается, что спасти ситуацию сможет установление четких правил для проведения закупок в рамках </w:t>
      </w:r>
      <w:hyperlink r:id="rId16" w:history="1">
        <w:r>
          <w:rPr>
            <w:rStyle w:val="a3"/>
            <w:lang w:eastAsia="ru-RU"/>
          </w:rPr>
          <w:t>Закона № 223-ФЗ</w:t>
        </w:r>
      </w:hyperlink>
      <w:r>
        <w:rPr>
          <w:lang w:eastAsia="ru-RU"/>
        </w:rPr>
        <w:t>, в т. ч. введение регламентации заключения договора. Это позволит внедрить в рассматриваемую сферу механизмы здоровой конкуренции и снизить издержки по закупкам, считают в антимонопольной службе.</w:t>
      </w:r>
      <w:r>
        <w:rPr>
          <w:lang w:eastAsia="ru-RU"/>
        </w:rPr>
        <w:br/>
        <w:t>Работу по совершенствованию нормативно-правовой базы в сфере закупок госкомпаний ФАС России организует совместно с Минфином России. Причем к ней планируется привлечь не только представителей экспертного сообщества, но и самих участников рынка (в первую очередь, заказчиков). Так, служба предлагает присоединиться к обсуждению поправок лицам, указанным в </w:t>
      </w:r>
      <w:hyperlink r:id="rId17" w:anchor="block_12" w:history="1">
        <w:r>
          <w:rPr>
            <w:rStyle w:val="a3"/>
            <w:lang w:eastAsia="ru-RU"/>
          </w:rPr>
          <w:t>ч. 2 ст. 1 Закона № 223-ФЗ</w:t>
        </w:r>
      </w:hyperlink>
      <w:r>
        <w:rPr>
          <w:lang w:eastAsia="ru-RU"/>
        </w:rPr>
        <w:t>(госкорпорациям, госкомпаниям, публично-правовым компаниям, субъектам естественных монополий, организациям, осуществляющим регулируемые виды деятельности в отдельных сферах, автономным учреждениям, хозяйственным обществам с долей госучастия более 50% и т. д.). Контактные данные лиц, желающих принять участие в выработке совместных решений (название организации, Ф. И. О., телефон, адрес электронной почты), можно направлять на электронный адрес </w:t>
      </w:r>
      <w:hyperlink r:id="rId18" w:history="1">
        <w:r>
          <w:rPr>
            <w:rStyle w:val="a3"/>
            <w:lang w:eastAsia="ru-RU"/>
          </w:rPr>
          <w:t>ivanovaea@fas.gov.ru</w:t>
        </w:r>
      </w:hyperlink>
      <w:r>
        <w:rPr>
          <w:lang w:eastAsia="ru-RU"/>
        </w:rPr>
        <w:t>.</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С 2020 года резиденты должны будут уведомлять налоговые органы о своих счетах в иностранных организациях финансового рынка</w:t>
      </w:r>
    </w:p>
    <w:p w:rsidR="00CC3CB3" w:rsidRDefault="00CC3CB3" w:rsidP="00CC3CB3">
      <w:pPr>
        <w:rPr>
          <w:lang w:eastAsia="ru-RU"/>
        </w:rPr>
      </w:pPr>
      <w:r>
        <w:rPr>
          <w:lang w:eastAsia="ru-RU"/>
        </w:rPr>
        <w:t>12 августа 2019</w:t>
      </w:r>
    </w:p>
    <w:p w:rsidR="00CC3CB3" w:rsidRDefault="00CC3CB3" w:rsidP="00CC3CB3">
      <w:pPr>
        <w:rPr>
          <w:lang w:eastAsia="ru-RU"/>
        </w:rPr>
      </w:pPr>
      <w:r>
        <w:rPr>
          <w:lang w:eastAsia="ru-RU"/>
        </w:rPr>
        <w:t>На днях был подписан закон, вносящий ряд изменений в валютное законодательство (</w:t>
      </w:r>
      <w:hyperlink r:id="rId19" w:history="1">
        <w:r>
          <w:rPr>
            <w:rStyle w:val="a3"/>
            <w:lang w:eastAsia="ru-RU"/>
          </w:rPr>
          <w:t>Федеральный закон от 2 августа 2019 г. № 265-ФЗ</w:t>
        </w:r>
      </w:hyperlink>
      <w:r>
        <w:rPr>
          <w:lang w:eastAsia="ru-RU"/>
        </w:rPr>
        <w:t>). Большинство поправок вступят в силу с 2020 года.</w:t>
      </w:r>
    </w:p>
    <w:p w:rsidR="00CC3CB3" w:rsidRDefault="00CC3CB3" w:rsidP="00CC3CB3">
      <w:pPr>
        <w:rPr>
          <w:lang w:eastAsia="ru-RU"/>
        </w:rPr>
      </w:pPr>
      <w:r>
        <w:rPr>
          <w:lang w:eastAsia="ru-RU"/>
        </w:rPr>
        <w:t>Так, теперь резиденты получили право открывать счета без ограничений в российской и иностранной валюте в банках и иностранных организациях финансового рынка. При этом необходимо будет уведомить налоговые органы обо всех таких счетах. Также устанавливается, что по ним не придется подавать отчеты о движении денежных средств, если сумма операций или остаток по счету за отчетный год не превысит 600 тыс. руб. или эквивалентную сумму в иностранной валюте.</w:t>
      </w:r>
    </w:p>
    <w:p w:rsidR="00CC3CB3" w:rsidRDefault="00CC3CB3" w:rsidP="00CC3CB3">
      <w:pPr>
        <w:rPr>
          <w:lang w:eastAsia="ru-RU"/>
        </w:rPr>
      </w:pPr>
      <w:r>
        <w:rPr>
          <w:lang w:eastAsia="ru-RU"/>
        </w:rPr>
        <w:t>Вышеуказанные льготы распространяются только на те банки и организации, которые расположены на территории государства-члена ОЭСР или ФАТФ, осуществляющего автоматический обмен финансовой информацией с Россией. Актуальный перечень таких организаций можно узнать на официальном сайте ФНС России (340fzreport.nalog.ru/info/#startbody).</w:t>
      </w:r>
    </w:p>
    <w:p w:rsidR="00CC3CB3" w:rsidRDefault="00CC3CB3" w:rsidP="00CC3CB3">
      <w:pPr>
        <w:rPr>
          <w:lang w:eastAsia="ru-RU"/>
        </w:rPr>
      </w:pPr>
      <w:r>
        <w:rPr>
          <w:lang w:eastAsia="ru-RU"/>
        </w:rPr>
        <w:t>В отношении же всех остальных иностранных счетов (банковских и открытых в организациях финансового рынка) резиденты обязаны будут предоставлять в налоговые органы отчеты о движении денежных средств с пакетом подтверждающих документов (резиденты-физлица подают только отчет).</w:t>
      </w:r>
    </w:p>
    <w:p w:rsidR="00CC3CB3" w:rsidRDefault="00CC3CB3" w:rsidP="00CC3CB3">
      <w:pPr>
        <w:rPr>
          <w:lang w:eastAsia="ru-RU"/>
        </w:rPr>
      </w:pPr>
      <w:r>
        <w:rPr>
          <w:lang w:eastAsia="ru-RU"/>
        </w:rPr>
        <w:t>Кроме того, вносится и ряд других изменений. Так, например, с 2020 года отменяется требование о репатриации выручки по внешнеторговым контрактам. Касается это только тех сделок, обязательства по которым определены в рублях, а также не предусматривающих передачу некоторых видов товаров. В отношении последнего условия отмена будет происходить постепенно до 2024 года.</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Работодателям Крыма предстоит сдавать в ПФР новый отчет</w:t>
      </w:r>
    </w:p>
    <w:p w:rsidR="00CC3CB3" w:rsidRDefault="00CC3CB3" w:rsidP="00CC3CB3">
      <w:pPr>
        <w:rPr>
          <w:lang w:eastAsia="ru-RU"/>
        </w:rPr>
      </w:pPr>
      <w:r>
        <w:rPr>
          <w:lang w:eastAsia="ru-RU"/>
        </w:rPr>
        <w:t>12 августа 2019</w:t>
      </w:r>
    </w:p>
    <w:p w:rsidR="00CC3CB3" w:rsidRDefault="00CC3CB3" w:rsidP="00CC3CB3">
      <w:pPr>
        <w:rPr>
          <w:lang w:eastAsia="ru-RU"/>
        </w:rPr>
      </w:pPr>
      <w:r>
        <w:rPr>
          <w:lang w:eastAsia="ru-RU"/>
        </w:rPr>
        <w:lastRenderedPageBreak/>
        <w:t>Внесены поправки в Федеральный закон от 21 июля 2014 г. № 208-ФЗ "</w:t>
      </w:r>
      <w:hyperlink r:id="rId20" w:history="1">
        <w:r>
          <w:rPr>
            <w:rStyle w:val="a3"/>
            <w:lang w:eastAsia="ru-RU"/>
          </w:rPr>
          <w:t>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w:t>
        </w:r>
      </w:hyperlink>
      <w:r>
        <w:rPr>
          <w:lang w:eastAsia="ru-RU"/>
        </w:rPr>
        <w:t>" (</w:t>
      </w:r>
      <w:hyperlink r:id="rId21" w:history="1">
        <w:r>
          <w:rPr>
            <w:rStyle w:val="a3"/>
            <w:lang w:eastAsia="ru-RU"/>
          </w:rPr>
          <w:t>Федеральный закон от 2 августа 2019 г. № 306-ФЗ</w:t>
        </w:r>
      </w:hyperlink>
      <w:r>
        <w:rPr>
          <w:lang w:eastAsia="ru-RU"/>
        </w:rPr>
        <w:t>). В частности, предусмотрено, что работодатели, осуществляющие свою деятельность на территориях Республики Крым и города федерального значения Севастополя, обязаны не позднее 31 декабря 2021 года представить в соответствующий территориальный орган ПФР сведения обо всех включаемых в страховой (трудовой) стаж периодах работы и (или) иной деятельности в отношении всех работающих у них граждан РФ, постоянно проживавших по состоянию на 18 марта 2014 года на территории данных регионов, до регистрации указанных граждан в системе обязательного пенсионного страхования.</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Уточнен порядок документооборота при ведения реестра договоров, заключенных заказчиками по результатам закупки</w:t>
      </w:r>
    </w:p>
    <w:p w:rsidR="00CC3CB3" w:rsidRDefault="00CC3CB3" w:rsidP="00CC3CB3">
      <w:pPr>
        <w:rPr>
          <w:lang w:eastAsia="ru-RU"/>
        </w:rPr>
      </w:pPr>
      <w:r>
        <w:rPr>
          <w:lang w:eastAsia="ru-RU"/>
        </w:rPr>
        <w:t>12 августа 2019</w:t>
      </w:r>
    </w:p>
    <w:p w:rsidR="00CC3CB3" w:rsidRDefault="00CC3CB3" w:rsidP="00CC3CB3">
      <w:pPr>
        <w:rPr>
          <w:lang w:eastAsia="ru-RU"/>
        </w:rPr>
      </w:pPr>
      <w:r>
        <w:rPr>
          <w:lang w:eastAsia="ru-RU"/>
        </w:rPr>
        <w:t> Узнайте последние изменения Закона № 44-ФЗ и Закона № 223-ФЗ, пройдя обучение по </w:t>
      </w:r>
      <w:hyperlink r:id="rId22" w:tgtFrame="_blank" w:history="1">
        <w:r>
          <w:rPr>
            <w:rStyle w:val="a3"/>
            <w:b/>
            <w:bCs/>
            <w:lang w:eastAsia="ru-RU"/>
          </w:rPr>
          <w:t>долгосрочной программе профессиональной переподготовки</w:t>
        </w:r>
      </w:hyperlink>
      <w:r>
        <w:rPr>
          <w:lang w:eastAsia="ru-RU"/>
        </w:rPr>
        <w:t>, и получите диплом установленного образца</w:t>
      </w:r>
    </w:p>
    <w:p w:rsidR="00CC3CB3" w:rsidRDefault="00CC3CB3" w:rsidP="00CC3CB3">
      <w:pPr>
        <w:rPr>
          <w:lang w:eastAsia="ru-RU"/>
        </w:rPr>
      </w:pPr>
      <w:r>
        <w:rPr>
          <w:lang w:eastAsia="ru-RU"/>
        </w:rPr>
        <w:t>Заказчики, руководствующиеся при осуществлении закупок положениями Федерального закона от 18 июля 2011 г. № 223-ФЗ "</w:t>
      </w:r>
      <w:hyperlink r:id="rId23" w:history="1">
        <w:r>
          <w:rPr>
            <w:rStyle w:val="a3"/>
            <w:lang w:eastAsia="ru-RU"/>
          </w:rPr>
          <w:t>О закупках товаров, работ, услуг отдельными видами юридических лиц</w:t>
        </w:r>
      </w:hyperlink>
      <w:r>
        <w:rPr>
          <w:lang w:eastAsia="ru-RU"/>
        </w:rPr>
        <w:t>", формируют документы, подлежащие включению в реестр договоров, в виде электронного образа бумажного документа, созданного в том числе посредством его сканирования, или в форме электронного документа, если документ сформирован в электронном виде (</w:t>
      </w:r>
      <w:hyperlink r:id="rId24" w:history="1">
        <w:r>
          <w:rPr>
            <w:rStyle w:val="a3"/>
            <w:lang w:eastAsia="ru-RU"/>
          </w:rPr>
          <w:t>постановление Правительства РФ от 27 июля 2019 г. № 973</w:t>
        </w:r>
      </w:hyperlink>
      <w:r>
        <w:rPr>
          <w:lang w:eastAsia="ru-RU"/>
        </w:rPr>
        <w:t>). Соответствующие изменения внесены в </w:t>
      </w:r>
      <w:hyperlink r:id="rId25" w:anchor="p_1264" w:history="1">
        <w:r>
          <w:rPr>
            <w:rStyle w:val="a3"/>
            <w:lang w:eastAsia="ru-RU"/>
          </w:rPr>
          <w:t>пункт 11 Правил ведения реестра договоров, заключенных заказчиками по результатам закупки</w:t>
        </w:r>
      </w:hyperlink>
      <w:r>
        <w:rPr>
          <w:lang w:eastAsia="ru-RU"/>
        </w:rPr>
        <w:t> (далее – Правила) (утв. постановлением Правительства РФ от 31 октября 2014 г. № 1132).</w:t>
      </w:r>
    </w:p>
    <w:p w:rsidR="00CC3CB3" w:rsidRDefault="00CC3CB3" w:rsidP="00CC3CB3">
      <w:pPr>
        <w:rPr>
          <w:lang w:eastAsia="ru-RU"/>
        </w:rPr>
      </w:pPr>
      <w:r>
        <w:rPr>
          <w:lang w:eastAsia="ru-RU"/>
        </w:rPr>
        <w:t>В новой редакции </w:t>
      </w:r>
      <w:hyperlink r:id="rId26" w:history="1">
        <w:r>
          <w:rPr>
            <w:rStyle w:val="a3"/>
            <w:lang w:eastAsia="ru-RU"/>
          </w:rPr>
          <w:t>Правила</w:t>
        </w:r>
      </w:hyperlink>
      <w:r>
        <w:rPr>
          <w:lang w:eastAsia="ru-RU"/>
        </w:rPr>
        <w:t> действуют с 7 августа 2019 года.</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Минтруд России приступил к разработке законопроекта о гарантиях работникам в возрасте 40 лет и старше при прохождении диспансеризации</w:t>
      </w:r>
    </w:p>
    <w:p w:rsidR="00CC3CB3" w:rsidRDefault="00CC3CB3" w:rsidP="00CC3CB3">
      <w:pPr>
        <w:rPr>
          <w:lang w:eastAsia="ru-RU"/>
        </w:rPr>
      </w:pPr>
      <w:r>
        <w:rPr>
          <w:lang w:eastAsia="ru-RU"/>
        </w:rPr>
        <w:t>12 августа 2019</w:t>
      </w:r>
    </w:p>
    <w:p w:rsidR="00CC3CB3" w:rsidRDefault="00CC3CB3" w:rsidP="00CC3CB3">
      <w:pPr>
        <w:rPr>
          <w:lang w:eastAsia="ru-RU"/>
        </w:rPr>
      </w:pPr>
      <w:r>
        <w:rPr>
          <w:lang w:eastAsia="ru-RU"/>
        </w:rPr>
        <w:t>Еще в конце мая текущего года министерство анонсировало на своем официальном сайте намерение расширить круг лиц, которые будут </w:t>
      </w:r>
      <w:hyperlink r:id="rId27" w:history="1">
        <w:r>
          <w:rPr>
            <w:rStyle w:val="a3"/>
            <w:lang w:eastAsia="ru-RU"/>
          </w:rPr>
          <w:t>чаще получать выходные для диспансеризации</w:t>
        </w:r>
      </w:hyperlink>
      <w:r>
        <w:rPr>
          <w:lang w:eastAsia="ru-RU"/>
        </w:rPr>
        <w:t>. Однако официальное уведомление о начале подготовки соответствующих поправок в </w:t>
      </w:r>
      <w:hyperlink r:id="rId28" w:history="1">
        <w:r>
          <w:rPr>
            <w:rStyle w:val="a3"/>
            <w:lang w:eastAsia="ru-RU"/>
          </w:rPr>
          <w:t>Трудовой кодекс</w:t>
        </w:r>
      </w:hyperlink>
      <w:r>
        <w:rPr>
          <w:lang w:eastAsia="ru-RU"/>
        </w:rPr>
        <w:t> появилось на федеральном портале проектов нормативных правовых актов только сегодня.</w:t>
      </w:r>
    </w:p>
    <w:p w:rsidR="00CC3CB3" w:rsidRDefault="00CC3CB3" w:rsidP="00CC3CB3">
      <w:pPr>
        <w:rPr>
          <w:lang w:eastAsia="ru-RU"/>
        </w:rPr>
      </w:pPr>
      <w:r>
        <w:rPr>
          <w:lang w:eastAsia="ru-RU"/>
        </w:rPr>
        <w:t>Текст законопроекта пока не представлен, но из уведомления</w:t>
      </w:r>
      <w:bookmarkStart w:id="0" w:name="sdfootnote1anc"/>
      <w:r>
        <w:fldChar w:fldCharType="begin"/>
      </w:r>
      <w:r>
        <w:instrText xml:space="preserve"> HYPERLINK "https://www.garant.ru/news/1287146/" \l "sdfootnote1sym" </w:instrText>
      </w:r>
      <w:r>
        <w:fldChar w:fldCharType="separate"/>
      </w:r>
      <w:r>
        <w:rPr>
          <w:rStyle w:val="a3"/>
          <w:vertAlign w:val="superscript"/>
          <w:lang w:eastAsia="ru-RU"/>
        </w:rPr>
        <w:t>1</w:t>
      </w:r>
      <w:r>
        <w:fldChar w:fldCharType="end"/>
      </w:r>
      <w:bookmarkEnd w:id="0"/>
      <w:r>
        <w:rPr>
          <w:lang w:eastAsia="ru-RU"/>
        </w:rPr>
        <w:t> уже ясна его суть – планируется предоставить работнику в возрасте 40 лет и старше право на освобождение от работы на один рабочий день один раз в год для прохождения диспансеризации. Причем этот день будет оплачиваемым, т. е. за работником будут сохраняться место работы (должность) и средний заработок. Минтруд России поясняет на своем официальном сайте, что еще одним нововведением станет норма, разрешающая работодателю предусматривать в коллективном договоре или локальном нормативном акте обязанность работника подтверждать использование предоставленного освобождения от работы справкой медорганизации.</w:t>
      </w:r>
    </w:p>
    <w:p w:rsidR="00CC3CB3" w:rsidRDefault="00CC3CB3" w:rsidP="00CC3CB3">
      <w:pPr>
        <w:rPr>
          <w:lang w:eastAsia="ru-RU"/>
        </w:rPr>
      </w:pPr>
      <w:r>
        <w:rPr>
          <w:lang w:eastAsia="ru-RU"/>
        </w:rPr>
        <w:t>Напомним, действующее законодательство уже предусматривает возможность освобождения работников от работы для прохождения диспансеризации на один рабочий день один раз в три года, а пенсионеров и предпенсионеров (в течение пяти лет до достижения пенсионного возраста) – на два рабочих дня один раз в год (</w:t>
      </w:r>
      <w:hyperlink r:id="rId29" w:anchor="block_18510" w:history="1">
        <w:r>
          <w:rPr>
            <w:rStyle w:val="a3"/>
            <w:lang w:eastAsia="ru-RU"/>
          </w:rPr>
          <w:t>ст. 185.1 ТК РФ</w:t>
        </w:r>
      </w:hyperlink>
      <w:r>
        <w:rPr>
          <w:lang w:eastAsia="ru-RU"/>
        </w:rPr>
        <w:t>).</w:t>
      </w:r>
    </w:p>
    <w:p w:rsidR="00CC3CB3" w:rsidRDefault="00CC3CB3" w:rsidP="00CC3CB3">
      <w:pPr>
        <w:rPr>
          <w:lang w:eastAsia="ru-RU"/>
        </w:rPr>
      </w:pPr>
      <w:r>
        <w:rPr>
          <w:lang w:eastAsia="ru-RU"/>
        </w:rPr>
        <w:t>По мнению разработчиков инициативы, повышенный уровень гарантий работникам в возрасте от 40 лет и старше позволит не только достичь целевых показателей, предусмотренных национальными проектами "</w:t>
      </w:r>
      <w:hyperlink r:id="rId30" w:history="1">
        <w:r>
          <w:rPr>
            <w:rStyle w:val="a3"/>
            <w:lang w:eastAsia="ru-RU"/>
          </w:rPr>
          <w:t>Здравоохранение</w:t>
        </w:r>
      </w:hyperlink>
      <w:r>
        <w:rPr>
          <w:lang w:eastAsia="ru-RU"/>
        </w:rPr>
        <w:t>" и "</w:t>
      </w:r>
      <w:hyperlink r:id="rId31" w:history="1">
        <w:r>
          <w:rPr>
            <w:rStyle w:val="a3"/>
            <w:lang w:eastAsia="ru-RU"/>
          </w:rPr>
          <w:t>Демография</w:t>
        </w:r>
      </w:hyperlink>
      <w:r>
        <w:rPr>
          <w:lang w:eastAsia="ru-RU"/>
        </w:rPr>
        <w:t xml:space="preserve">", но и улучшить демографические показатели, в первую очередь, среди граждан трудоспособного возраста. "Целью законопроекта является повышение доступности диспансеризации, сохранение здоровья работающего </w:t>
      </w:r>
      <w:r>
        <w:rPr>
          <w:lang w:eastAsia="ru-RU"/>
        </w:rPr>
        <w:lastRenderedPageBreak/>
        <w:t>населения путем выявления заболеваний на наиболее ранних стадиях и их предупреждение на основе систематического медицинского наблюдения за здоровьем работающего населения", – приводится довод в обоснование необходимости подготовки документа.</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В реестре СМП теперь есть и организации с иностранным участием</w:t>
      </w:r>
    </w:p>
    <w:p w:rsidR="00CC3CB3" w:rsidRDefault="00CC3CB3" w:rsidP="00CC3CB3">
      <w:pPr>
        <w:rPr>
          <w:lang w:eastAsia="ru-RU"/>
        </w:rPr>
      </w:pPr>
      <w:r>
        <w:rPr>
          <w:lang w:eastAsia="ru-RU"/>
        </w:rPr>
        <w:t>12 августа 2019</w:t>
      </w:r>
    </w:p>
    <w:p w:rsidR="00CC3CB3" w:rsidRDefault="00CC3CB3" w:rsidP="00CC3CB3">
      <w:pPr>
        <w:rPr>
          <w:lang w:eastAsia="ru-RU"/>
        </w:rPr>
      </w:pPr>
      <w:r>
        <w:rPr>
          <w:lang w:eastAsia="ru-RU"/>
        </w:rPr>
        <w:t>На официальном сайте ФНС России появилась информация о внесении сведений об обществах с ограниченной ответственностью с иностранной долей участия в Единый реестр субъектов малого и среднего предпринимательства (ofd.nalog.ru).</w:t>
      </w:r>
    </w:p>
    <w:p w:rsidR="00CC3CB3" w:rsidRDefault="00CC3CB3" w:rsidP="00CC3CB3">
      <w:pPr>
        <w:rPr>
          <w:lang w:eastAsia="ru-RU"/>
        </w:rPr>
      </w:pPr>
      <w:r>
        <w:rPr>
          <w:lang w:eastAsia="ru-RU"/>
        </w:rPr>
        <w:t>Как поясняет налоговая служба, иностранные компании, являющиеся участниками российских организаций, находятся в государствах, не включенных в перечень оффшорных зон. Также доход иностранных участников за предшествующий год составляет менее 2 млрд руб., а среднесписочная численность сотрудников не превышает 250 человек. Необходимость внесения данных о таких организациях прописана в </w:t>
      </w:r>
      <w:hyperlink r:id="rId32" w:history="1">
        <w:r>
          <w:rPr>
            <w:rStyle w:val="a3"/>
            <w:lang w:eastAsia="ru-RU"/>
          </w:rPr>
          <w:t>Федеральном законе от 3 августа 2018 г. № 313-ФЗ</w:t>
        </w:r>
      </w:hyperlink>
      <w:r>
        <w:rPr>
          <w:lang w:eastAsia="ru-RU"/>
        </w:rPr>
        <w:t>.</w:t>
      </w:r>
    </w:p>
    <w:p w:rsidR="00CC3CB3" w:rsidRDefault="00CC3CB3" w:rsidP="00CC3CB3">
      <w:pPr>
        <w:rPr>
          <w:lang w:eastAsia="ru-RU"/>
        </w:rPr>
      </w:pPr>
      <w:r>
        <w:rPr>
          <w:lang w:eastAsia="ru-RU"/>
        </w:rPr>
        <w:t>После включения сведений об организации в реестр, она сможет самостоятельно внести дополнительные сведения о себе. Например, добавить информацию о видах продукции, договорах и контрактах, а также об участии в программах партнерства. Кроме того, можно указать и свои контактные данные – адрес электронной почты, сайт и телефон. Для этого нужно будет заполнить особую форму в специальном сервисе на официальном сайте ФНС России и заверить ее усиленной квалифицированной электронной подписью (rmsp.nalog.ru/sign-in.html).</w:t>
      </w:r>
    </w:p>
    <w:p w:rsidR="00CC3CB3" w:rsidRDefault="00CC3CB3" w:rsidP="00CC3CB3">
      <w:pPr>
        <w:rPr>
          <w:lang w:eastAsia="ru-RU"/>
        </w:rPr>
      </w:pPr>
      <w:r>
        <w:rPr>
          <w:lang w:eastAsia="ru-RU"/>
        </w:rPr>
        <w:t>ФНС России сообщает, что реестр был переформирован на основании показателей о средней доходности и среднесписочной численности работников организаций и предпринимателей за 2018 год. Кроме того, использовались сведения из ЕГРЮЛ и ЕГРИП, а также других госорганов и уполномоченных организаций, полученных ФНС России в рамках информационного взаимодействия.</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В ЕГРН появятся отметки о возможности представления электронного заявления о переходе или прекращении права собственности на недвижимость граждан</w:t>
      </w:r>
    </w:p>
    <w:p w:rsidR="00CC3CB3" w:rsidRDefault="00CC3CB3" w:rsidP="00CC3CB3">
      <w:pPr>
        <w:rPr>
          <w:lang w:eastAsia="ru-RU"/>
        </w:rPr>
      </w:pPr>
      <w:r>
        <w:rPr>
          <w:lang w:eastAsia="ru-RU"/>
        </w:rPr>
        <w:t>13 августа 2019</w:t>
      </w:r>
    </w:p>
    <w:p w:rsidR="00CC3CB3" w:rsidRDefault="00CC3CB3" w:rsidP="00CC3CB3">
      <w:pPr>
        <w:rPr>
          <w:lang w:eastAsia="ru-RU"/>
        </w:rPr>
      </w:pPr>
      <w:r>
        <w:rPr>
          <w:lang w:eastAsia="ru-RU"/>
        </w:rPr>
        <w:t>Сегодня (13 августа) вступили в силу поправки, внесенные в Федеральный закон от 13 июля 2015 г. № 218-ФЗ "</w:t>
      </w:r>
      <w:hyperlink r:id="rId33" w:history="1">
        <w:r>
          <w:rPr>
            <w:rStyle w:val="a3"/>
            <w:lang w:eastAsia="ru-RU"/>
          </w:rPr>
          <w:t>О государственной регистрации недвижимости</w:t>
        </w:r>
      </w:hyperlink>
      <w:r>
        <w:rPr>
          <w:lang w:eastAsia="ru-RU"/>
        </w:rPr>
        <w:t>" (далее – Закон № 218-ФЗ) </w:t>
      </w:r>
      <w:hyperlink r:id="rId34" w:history="1">
        <w:r>
          <w:rPr>
            <w:rStyle w:val="a3"/>
            <w:lang w:eastAsia="ru-RU"/>
          </w:rPr>
          <w:t>Федеральным законом от 2 августа 2019 г. № 286-ФЗ</w:t>
        </w:r>
      </w:hyperlink>
      <w:r>
        <w:rPr>
          <w:lang w:eastAsia="ru-RU"/>
        </w:rPr>
        <w:t>.</w:t>
      </w:r>
    </w:p>
    <w:p w:rsidR="00CC3CB3" w:rsidRDefault="00CC3CB3" w:rsidP="00CC3CB3">
      <w:pPr>
        <w:rPr>
          <w:lang w:eastAsia="ru-RU"/>
        </w:rPr>
      </w:pPr>
      <w:r>
        <w:rPr>
          <w:lang w:eastAsia="ru-RU"/>
        </w:rPr>
        <w:t>Так, теперь возможность представления заявления о госрегистрации перехода, прекращения права собственности на принадлежащий физлицу объект недвижимости и прилагаемых к нему документов в форме электронных документов или электронных образов, подписанных усиленной квалифицированной электронной подписью, должна быть отражена в реестре прав на недвижимость. Правила внесения в ЕГРН соответствующей записи конкретизированы в отдельной </w:t>
      </w:r>
      <w:hyperlink r:id="rId35" w:anchor="block_362" w:history="1">
        <w:r>
          <w:rPr>
            <w:rStyle w:val="a3"/>
            <w:lang w:eastAsia="ru-RU"/>
          </w:rPr>
          <w:t>статье Закона № 218-ФЗ</w:t>
        </w:r>
      </w:hyperlink>
      <w:r>
        <w:rPr>
          <w:lang w:eastAsia="ru-RU"/>
        </w:rPr>
        <w:t>. В ней, в частности:</w:t>
      </w:r>
    </w:p>
    <w:p w:rsidR="00CC3CB3" w:rsidRDefault="00CC3CB3" w:rsidP="00CC3CB3">
      <w:pPr>
        <w:numPr>
          <w:ilvl w:val="0"/>
          <w:numId w:val="4"/>
        </w:numPr>
        <w:rPr>
          <w:rFonts w:eastAsia="Times New Roman"/>
          <w:lang w:eastAsia="ru-RU"/>
        </w:rPr>
      </w:pPr>
      <w:r>
        <w:rPr>
          <w:rFonts w:eastAsia="Times New Roman"/>
          <w:lang w:eastAsia="ru-RU"/>
        </w:rPr>
        <w:t>установлен срок для отражения в ЕГРН записи о внесении собственником недвижимости (его представителем) заявления о возможности подачи электронных заявлений и документов для отчуждения объекта недвижимости – не более пяти рабочих дней с момента поступления заявления;</w:t>
      </w:r>
    </w:p>
    <w:p w:rsidR="00CC3CB3" w:rsidRDefault="00CC3CB3" w:rsidP="00CC3CB3">
      <w:pPr>
        <w:numPr>
          <w:ilvl w:val="0"/>
          <w:numId w:val="4"/>
        </w:numPr>
        <w:rPr>
          <w:rFonts w:eastAsia="Times New Roman"/>
          <w:lang w:eastAsia="ru-RU"/>
        </w:rPr>
      </w:pPr>
      <w:r>
        <w:rPr>
          <w:rFonts w:eastAsia="Times New Roman"/>
          <w:lang w:eastAsia="ru-RU"/>
        </w:rPr>
        <w:t>закреплена возможность подачи указанного заявления как в отношении всех объектов недвижимости, право собственности на которые зарегистрировано в ЕГРН за физическим лицом, так и в отношении любого из них;</w:t>
      </w:r>
    </w:p>
    <w:p w:rsidR="00CC3CB3" w:rsidRDefault="00CC3CB3" w:rsidP="00CC3CB3">
      <w:pPr>
        <w:numPr>
          <w:ilvl w:val="0"/>
          <w:numId w:val="4"/>
        </w:numPr>
        <w:rPr>
          <w:rFonts w:eastAsia="Times New Roman"/>
          <w:lang w:eastAsia="ru-RU"/>
        </w:rPr>
      </w:pPr>
      <w:r>
        <w:rPr>
          <w:rFonts w:eastAsia="Times New Roman"/>
          <w:lang w:eastAsia="ru-RU"/>
        </w:rPr>
        <w:t>определены способы подачи заявления о возможности регистрации на основании документов, подписанных усиленной квалифицированной электронной подписью, – на бумажном носителе при личном обращении в регистрирующий орган, почтовым отправлением, соответствующим установленным требованиям;</w:t>
      </w:r>
    </w:p>
    <w:p w:rsidR="00CC3CB3" w:rsidRDefault="00CC3CB3" w:rsidP="00CC3CB3">
      <w:pPr>
        <w:numPr>
          <w:ilvl w:val="0"/>
          <w:numId w:val="4"/>
        </w:numPr>
        <w:rPr>
          <w:rFonts w:eastAsia="Times New Roman"/>
          <w:lang w:eastAsia="ru-RU"/>
        </w:rPr>
      </w:pPr>
      <w:r>
        <w:rPr>
          <w:rFonts w:eastAsia="Times New Roman"/>
          <w:lang w:eastAsia="ru-RU"/>
        </w:rPr>
        <w:t>прописаны правила погашения содержащейся в ЕГРН записи о возможности регистрации на основании электронных документов (для этого достаточно отзыва собственником ранее поданного заявления или вступившего в законную силу судебного акта);</w:t>
      </w:r>
    </w:p>
    <w:p w:rsidR="00CC3CB3" w:rsidRDefault="00CC3CB3" w:rsidP="00CC3CB3">
      <w:pPr>
        <w:numPr>
          <w:ilvl w:val="0"/>
          <w:numId w:val="4"/>
        </w:numPr>
        <w:rPr>
          <w:rFonts w:eastAsia="Times New Roman"/>
          <w:lang w:eastAsia="ru-RU"/>
        </w:rPr>
      </w:pPr>
      <w:r>
        <w:rPr>
          <w:rFonts w:eastAsia="Times New Roman"/>
          <w:lang w:eastAsia="ru-RU"/>
        </w:rPr>
        <w:lastRenderedPageBreak/>
        <w:t>установлена необходимость возврата без рассмотрения заявления о госрегистрации перехода, прекращения права собственности на объект недвижимости на основании электронных документов при отсутствии в ЕГРН записи о возможности регистрации на основании таких документов (за исключением случаев подачи заявления органами госвласти и органами местного самоуправления, нотариусом и сторонами договора об отчуждении недвижимости).</w:t>
      </w:r>
    </w:p>
    <w:p w:rsidR="00CC3CB3" w:rsidRDefault="00CC3CB3" w:rsidP="00CC3CB3">
      <w:pPr>
        <w:rPr>
          <w:lang w:eastAsia="ru-RU"/>
        </w:rPr>
      </w:pPr>
      <w:r>
        <w:rPr>
          <w:lang w:eastAsia="ru-RU"/>
        </w:rPr>
        <w:t>Как поясняет Росреестр, закон защищает граждан от мошеннических действий с их недвижимостью, совершаемых при помощи электронной подписи. "Он направлен на исключение случаев,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 полученной в удостоверяющем центре в том числе по поддельным документам", – подчеркивает регистрирующий орган.</w:t>
      </w:r>
    </w:p>
    <w:p w:rsidR="00CC3CB3" w:rsidRDefault="00CC3CB3" w:rsidP="00CC3CB3">
      <w:pPr>
        <w:rPr>
          <w:lang w:eastAsia="ru-RU"/>
        </w:rPr>
      </w:pPr>
      <w:r>
        <w:rPr>
          <w:lang w:eastAsia="ru-RU"/>
        </w:rPr>
        <w:t>Указанные изменения применимы с сегодняшнего дня. Еще одна норма закона, которая обязывает орган регистрации прав в день поступления заявления о госрегистрации перехода, прекращения права собственности на объект недвижимости, принадлежащий физлицу, и прилагаемых к нему документов в форме электронных документов или электронных образов уведомлять собственника об указанном заявлении, начнет действовать с 1 ноября текущего года.</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Обсуждение идеи перехода на четырехдневную рабочую неделю может стартовать в Госдуме в сентябре</w:t>
      </w:r>
    </w:p>
    <w:p w:rsidR="00CC3CB3" w:rsidRDefault="00CC3CB3" w:rsidP="00CC3CB3">
      <w:pPr>
        <w:rPr>
          <w:lang w:eastAsia="ru-RU"/>
        </w:rPr>
      </w:pPr>
      <w:r>
        <w:rPr>
          <w:lang w:eastAsia="ru-RU"/>
        </w:rPr>
        <w:t>13 августа 2019</w:t>
      </w:r>
    </w:p>
    <w:p w:rsidR="00CC3CB3" w:rsidRDefault="00CC3CB3" w:rsidP="00CC3CB3">
      <w:pPr>
        <w:rPr>
          <w:lang w:eastAsia="ru-RU"/>
        </w:rPr>
      </w:pPr>
      <w:r>
        <w:rPr>
          <w:lang w:eastAsia="ru-RU"/>
        </w:rPr>
        <w:t>Об этом заявил депутат Госдумы </w:t>
      </w:r>
      <w:r>
        <w:rPr>
          <w:b/>
          <w:bCs/>
          <w:lang w:eastAsia="ru-RU"/>
        </w:rPr>
        <w:t>Андрей Исаев</w:t>
      </w:r>
      <w:r>
        <w:rPr>
          <w:lang w:eastAsia="ru-RU"/>
        </w:rPr>
        <w:t>. Его мнение по поводу инициативы Федерации независимых профсоюзов России о сокращении продолжительности рабочей недели опубликовано сегодня на официальном сайте нижней палаты парламента.</w:t>
      </w:r>
    </w:p>
    <w:p w:rsidR="00CC3CB3" w:rsidRDefault="00CC3CB3" w:rsidP="00CC3CB3">
      <w:pPr>
        <w:rPr>
          <w:lang w:eastAsia="ru-RU"/>
        </w:rPr>
      </w:pPr>
      <w:r>
        <w:rPr>
          <w:lang w:eastAsia="ru-RU"/>
        </w:rPr>
        <w:t>По словам парламентария, многие депутаты поддерживают указанную инициативу, считая, что ее реализация "позволит людям получить большее время для отдыха, которое они смогут провести с семьей, потратить на самообразование или заботу о своем здоровье, например, пройти диспансеризацию". "Производительность труда должна расти по мере того, как будут выделяться новые производства, задействоваться робототехника и т. д. С другой стороны, новая экономика требует от человека не столько определенного количества часов, сколько качества работы в эти часы. А человек, имеющий больше времени для отдыха и повышения своей квалификации, безусловно, будет работать производительнее", – подчеркнул он.</w:t>
      </w:r>
    </w:p>
    <w:p w:rsidR="00CC3CB3" w:rsidRDefault="00CC3CB3" w:rsidP="00CC3CB3">
      <w:pPr>
        <w:rPr>
          <w:lang w:eastAsia="ru-RU"/>
        </w:rPr>
      </w:pPr>
      <w:r>
        <w:rPr>
          <w:lang w:eastAsia="ru-RU"/>
        </w:rPr>
        <w:t>Предполагается, что сокращение рабочей недели будет способствовать уменьшению роста безработицы. Однако для перехода к такому рабочему графику потребуется время. "Этот переход должен осуществляться в соответствии с возможностями экономики и осуществляться постепенно, что позволило бы экономике, работодателям и работникам перейти на новый режим работы без потрясений", – считает Исаев. При этом он подчеркнул важность сохранения существующего уровня зарплаты сотрудников при сокращении продолжительности их рабочей недели.</w:t>
      </w:r>
    </w:p>
    <w:p w:rsidR="00CC3CB3" w:rsidRDefault="00CC3CB3" w:rsidP="00CC3CB3">
      <w:pPr>
        <w:rPr>
          <w:lang w:eastAsia="ru-RU"/>
        </w:rPr>
      </w:pPr>
      <w:r>
        <w:rPr>
          <w:lang w:eastAsia="ru-RU"/>
        </w:rPr>
        <w:t>Ожидается, что оценить целесообразность введения четырехдневной рабочей недели депутаты смогут уже в сентябре текущего года – в начале осенней сессии Госдумы они будут готовы подключиться к обсуждению этой идеи с профсоюзами и разработать соответствующий законопроект.</w:t>
      </w:r>
    </w:p>
    <w:p w:rsidR="00CC3CB3" w:rsidRDefault="00CC3CB3" w:rsidP="00CC3CB3">
      <w:pPr>
        <w:rPr>
          <w:lang w:eastAsia="ru-RU"/>
        </w:rPr>
      </w:pPr>
      <w:r>
        <w:rPr>
          <w:lang w:eastAsia="ru-RU"/>
        </w:rPr>
        <w:t>О том, как эксперты и представили бизнеса оценивают правовые и экономические перспективы перехода на четырехдневную рабочую неделю, читайте в нашем </w:t>
      </w:r>
      <w:hyperlink r:id="rId36" w:history="1">
        <w:r>
          <w:rPr>
            <w:rStyle w:val="a3"/>
            <w:lang w:eastAsia="ru-RU"/>
          </w:rPr>
          <w:t>материале</w:t>
        </w:r>
      </w:hyperlink>
      <w:r>
        <w:rPr>
          <w:lang w:eastAsia="ru-RU"/>
        </w:rPr>
        <w:t>.</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Банк России спрогнозировал уровень инфляции на начало 2020 года</w:t>
      </w:r>
    </w:p>
    <w:p w:rsidR="00CC3CB3" w:rsidRDefault="00CC3CB3" w:rsidP="00CC3CB3">
      <w:pPr>
        <w:rPr>
          <w:lang w:eastAsia="ru-RU"/>
        </w:rPr>
      </w:pPr>
      <w:r>
        <w:rPr>
          <w:lang w:eastAsia="ru-RU"/>
        </w:rPr>
        <w:t>13 августа 2019</w:t>
      </w:r>
    </w:p>
    <w:p w:rsidR="00CC3CB3" w:rsidRDefault="00CC3CB3" w:rsidP="00CC3CB3">
      <w:pPr>
        <w:rPr>
          <w:lang w:eastAsia="ru-RU"/>
        </w:rPr>
      </w:pPr>
      <w:r>
        <w:rPr>
          <w:lang w:eastAsia="ru-RU"/>
        </w:rPr>
        <w:t>По прогнозу регулятора, с учетом проводимой денежно-кредитной политики в начале следующего года инфляция вернется к 4%. Такой прогноз содержится в сообщении, размещенном на официальном сайте Банка России.</w:t>
      </w:r>
    </w:p>
    <w:p w:rsidR="00CC3CB3" w:rsidRDefault="00CC3CB3" w:rsidP="00CC3CB3">
      <w:pPr>
        <w:rPr>
          <w:lang w:eastAsia="ru-RU"/>
        </w:rPr>
      </w:pPr>
      <w:r>
        <w:rPr>
          <w:lang w:eastAsia="ru-RU"/>
        </w:rPr>
        <w:lastRenderedPageBreak/>
        <w:t>Кроме того, проанализированы показатели за июль текущего года. Так, отмечается продолжение замедления инфляции – по итогам месяца годовая инфляция составила 4,6% (на 0,1 п.п ниже, чем в июне). Это связано как со снижением темпа прироста тарифов на жилищно-коммунальные услуги в связи с их меньшей индексацией, так и с сохранением годовой продовольственной инфляции по сравнению с июнем. По мнению экспертов, различия в изменениях тарифов на жилищно-коммунальные услуги и продовольствие повлияли на неоднородность инфляции в регионах страны.</w:t>
      </w:r>
    </w:p>
    <w:p w:rsidR="00CC3CB3" w:rsidRDefault="00CC3CB3" w:rsidP="00CC3CB3">
      <w:pPr>
        <w:rPr>
          <w:lang w:eastAsia="ru-RU"/>
        </w:rPr>
      </w:pPr>
      <w:r>
        <w:rPr>
          <w:lang w:eastAsia="ru-RU"/>
        </w:rPr>
        <w:t>"Изменение потребительских цен в июле было в значительной мере обусловлено разовыми и административными факторами. Месячный прирост цен на товары и услуги без учета таких волатильных или регулируемых компонент, как плодоовощная продукция, нефтепродукты и жилищно-коммунальные услуги, оценивается в 0,3% (с поправкой на сезонность)", – подчеркивается в сообщении.</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Предлагается уточнить перечень документов, предъявляемых водителем для проверки сотрудникам Госавтоинспекции</w:t>
      </w:r>
    </w:p>
    <w:p w:rsidR="00CC3CB3" w:rsidRDefault="00CC3CB3" w:rsidP="00CC3CB3">
      <w:pPr>
        <w:rPr>
          <w:lang w:eastAsia="ru-RU"/>
        </w:rPr>
      </w:pPr>
      <w:r>
        <w:rPr>
          <w:lang w:eastAsia="ru-RU"/>
        </w:rPr>
        <w:t>14 августа 2019</w:t>
      </w:r>
    </w:p>
    <w:p w:rsidR="00CC3CB3" w:rsidRDefault="00CC3CB3" w:rsidP="00CC3CB3">
      <w:pPr>
        <w:rPr>
          <w:lang w:eastAsia="ru-RU"/>
        </w:rPr>
      </w:pPr>
      <w:r>
        <w:rPr>
          <w:lang w:eastAsia="ru-RU"/>
        </w:rPr>
        <w:t>МВД России на своем официальном сайте сообщило о подготовке соответствующего проекта правительственного постановления. Документ направлен на приведение положений </w:t>
      </w:r>
      <w:hyperlink r:id="rId37" w:anchor="block_1000" w:history="1">
        <w:r>
          <w:rPr>
            <w:rStyle w:val="a3"/>
            <w:lang w:eastAsia="ru-RU"/>
          </w:rPr>
          <w:t>ПДД</w:t>
        </w:r>
      </w:hyperlink>
      <w:r>
        <w:rPr>
          <w:lang w:eastAsia="ru-RU"/>
        </w:rPr>
        <w:t> в соответствие с нормами Федерального закона от 25 апреля 2002 г. № 40-ФЗ "</w:t>
      </w:r>
      <w:hyperlink r:id="rId38" w:history="1">
        <w:r>
          <w:rPr>
            <w:rStyle w:val="a3"/>
            <w:lang w:eastAsia="ru-RU"/>
          </w:rPr>
          <w:t>Об обязательном страховании гражданской ответственности владельцев транспортных средств</w:t>
        </w:r>
      </w:hyperlink>
      <w:r>
        <w:rPr>
          <w:lang w:eastAsia="ru-RU"/>
        </w:rPr>
        <w:t>" (далее – Закон об ОСАГО).</w:t>
      </w:r>
    </w:p>
    <w:p w:rsidR="00CC3CB3" w:rsidRDefault="00CC3CB3" w:rsidP="00CC3CB3">
      <w:pPr>
        <w:rPr>
          <w:lang w:eastAsia="ru-RU"/>
        </w:rPr>
      </w:pPr>
      <w:r>
        <w:rPr>
          <w:lang w:eastAsia="ru-RU"/>
        </w:rPr>
        <w:t>Так, указанным законом предусмотрена обязанность водителя транспортного средства иметь при себе страховой полис ОСАГО, который по требованию сотрудников ГИБДД он должен передавать им для проверки (</w:t>
      </w:r>
      <w:hyperlink r:id="rId39" w:anchor="block_32" w:history="1">
        <w:r>
          <w:rPr>
            <w:rStyle w:val="a3"/>
            <w:lang w:eastAsia="ru-RU"/>
          </w:rPr>
          <w:t>ст. 32 Закона об ОСАГО</w:t>
        </w:r>
      </w:hyperlink>
      <w:r>
        <w:rPr>
          <w:lang w:eastAsia="ru-RU"/>
        </w:rPr>
        <w:t>). При этом с учетом поправок, внесенных в эту норму </w:t>
      </w:r>
      <w:hyperlink r:id="rId40" w:history="1">
        <w:r>
          <w:rPr>
            <w:rStyle w:val="a3"/>
            <w:lang w:eastAsia="ru-RU"/>
          </w:rPr>
          <w:t>Федеральным законом от 1 мая 2019 г. № 88-ФЗ</w:t>
        </w:r>
      </w:hyperlink>
      <w:r>
        <w:rPr>
          <w:lang w:eastAsia="ru-RU"/>
        </w:rPr>
        <w:t>, с 29 октября текущего года полис ОСАГО, оформленный в электронном виде, можно будет представлять для проверки по требованию инспектора в виде электронного документа или его копии на бумажном носителе.</w:t>
      </w:r>
    </w:p>
    <w:p w:rsidR="00CC3CB3" w:rsidRDefault="00CC3CB3" w:rsidP="00CC3CB3">
      <w:pPr>
        <w:rPr>
          <w:lang w:eastAsia="ru-RU"/>
        </w:rPr>
      </w:pPr>
      <w:r>
        <w:rPr>
          <w:lang w:eastAsia="ru-RU"/>
        </w:rPr>
        <w:t>В целях реализации указанных положений МВД России предлагает дополнить перечень закрепленных в </w:t>
      </w:r>
      <w:hyperlink r:id="rId41" w:anchor="block_1000" w:history="1">
        <w:r>
          <w:rPr>
            <w:rStyle w:val="a3"/>
            <w:lang w:eastAsia="ru-RU"/>
          </w:rPr>
          <w:t>ПДД</w:t>
        </w:r>
      </w:hyperlink>
      <w:r>
        <w:rPr>
          <w:lang w:eastAsia="ru-RU"/>
        </w:rPr>
        <w:t>документов, предъявляемых для проверки сотрудникам ГИБДД. Согласно изменениям</w:t>
      </w:r>
      <w:hyperlink r:id="rId42" w:anchor="sdfootnote1sym" w:history="1">
        <w:r>
          <w:rPr>
            <w:rStyle w:val="a3"/>
            <w:vertAlign w:val="superscript"/>
            <w:lang w:eastAsia="ru-RU"/>
          </w:rPr>
          <w:t>1</w:t>
        </w:r>
      </w:hyperlink>
      <w:r>
        <w:rPr>
          <w:lang w:eastAsia="ru-RU"/>
        </w:rPr>
        <w:t> водитель, оформивший договор ОСАГО в электронном виде, сможет предъявлять сотруднику Госавтоинспекции для проверки как копию страхового полиса на бумажном носителе, так и в виде электронного документа на любом электронном устройстве или носителе. В данном случае факт заключения договора ОСАГО сотрудник полиции будет проверять путем запроса сведений в автоматизированной информационной системе обязательного страхования.</w:t>
      </w:r>
    </w:p>
    <w:p w:rsidR="00CC3CB3" w:rsidRDefault="00CC3CB3" w:rsidP="00CC3CB3">
      <w:pPr>
        <w:rPr>
          <w:lang w:eastAsia="ru-RU"/>
        </w:rPr>
      </w:pPr>
      <w:r>
        <w:rPr>
          <w:lang w:eastAsia="ru-RU"/>
        </w:rPr>
        <w:t>Напомним, кроме полиса ОСАГО, водитель транспортного средства должен иметь при себе и предъявлять для проверки уполномоченным лицам: водительское удостоверение или временное разрешение на право управления транспортным средством; регистрационные документы на транспортное средство; разрешение на осуществление деятельности по перевозке пассажиров и багажа легковым такси,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 документ, подтверждающий факт установления инвалидности, в случае управления автомобилем с опознавательным знаком "Инвалид" (</w:t>
      </w:r>
      <w:hyperlink r:id="rId43" w:anchor="block_10211" w:history="1">
        <w:r>
          <w:rPr>
            <w:rStyle w:val="a3"/>
            <w:lang w:eastAsia="ru-RU"/>
          </w:rPr>
          <w:t>п. 2.1.1 ПДД</w:t>
        </w:r>
      </w:hyperlink>
      <w:r>
        <w:rPr>
          <w:lang w:eastAsia="ru-RU"/>
        </w:rPr>
        <w:t>).</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Граждане могут получить льготный кредит на приобретение деревянных домов заводского изготовления до конца 2020 года</w:t>
      </w:r>
    </w:p>
    <w:p w:rsidR="00CC3CB3" w:rsidRDefault="00CC3CB3" w:rsidP="00CC3CB3">
      <w:pPr>
        <w:rPr>
          <w:lang w:eastAsia="ru-RU"/>
        </w:rPr>
      </w:pPr>
      <w:r>
        <w:rPr>
          <w:lang w:eastAsia="ru-RU"/>
        </w:rPr>
        <w:t>14 августа 2019</w:t>
      </w:r>
    </w:p>
    <w:p w:rsidR="00CC3CB3" w:rsidRDefault="00CC3CB3" w:rsidP="00CC3CB3">
      <w:pPr>
        <w:rPr>
          <w:lang w:eastAsia="ru-RU"/>
        </w:rPr>
      </w:pPr>
      <w:r>
        <w:rPr>
          <w:lang w:eastAsia="ru-RU"/>
        </w:rPr>
        <w:t>Правительство РФ продлило действие </w:t>
      </w:r>
      <w:hyperlink r:id="rId44" w:anchor="block_1000" w:history="1">
        <w:r>
          <w:rPr>
            <w:rStyle w:val="a3"/>
            <w:lang w:eastAsia="ru-RU"/>
          </w:rPr>
          <w:t>программы</w:t>
        </w:r>
      </w:hyperlink>
      <w:r>
        <w:rPr>
          <w:lang w:eastAsia="ru-RU"/>
        </w:rPr>
        <w:t> субсидирования кредитов на покупку деревянных домов заводского изготовления до конца 2020 года. Соответствующие поправки вступили в силу 14 августа 2019 года (</w:t>
      </w:r>
      <w:hyperlink r:id="rId45" w:history="1">
        <w:r>
          <w:rPr>
            <w:rStyle w:val="a3"/>
            <w:lang w:eastAsia="ru-RU"/>
          </w:rPr>
          <w:t>постановление Правительства РФ от 1 августа 2019 г. № 1003</w:t>
        </w:r>
      </w:hyperlink>
      <w:r>
        <w:rPr>
          <w:lang w:eastAsia="ru-RU"/>
        </w:rPr>
        <w:t>).</w:t>
      </w:r>
    </w:p>
    <w:p w:rsidR="00CC3CB3" w:rsidRDefault="00CC3CB3" w:rsidP="00CC3CB3">
      <w:pPr>
        <w:rPr>
          <w:lang w:eastAsia="ru-RU"/>
        </w:rPr>
      </w:pPr>
      <w:r>
        <w:rPr>
          <w:lang w:eastAsia="ru-RU"/>
        </w:rPr>
        <w:lastRenderedPageBreak/>
        <w:t>В рамках данной программы при соблюдении ряда условий граждане могут получить кредит на приобретение деревянных домов заводского изготовления по льготной процентной ставке – со скидкой 5 процентных пунктов от действующей на дату его выдачи ставки кредитной организации. А выпадающие доходы участвующих в программе банков по выданным на указанные цели кредитам возмещаются за счет предоставления им субсидий из федерального бюджета.</w:t>
      </w:r>
    </w:p>
    <w:p w:rsidR="00CC3CB3" w:rsidRDefault="00CC3CB3" w:rsidP="00CC3CB3">
      <w:pPr>
        <w:rPr>
          <w:lang w:eastAsia="ru-RU"/>
        </w:rPr>
      </w:pPr>
      <w:r>
        <w:rPr>
          <w:lang w:eastAsia="ru-RU"/>
        </w:rPr>
        <w:t>Напомним, что по условиям программы размер кредита на приобретение деревянного дома заводского изготовления должен составлять не более 3,5 млн руб., а срок действия кредитного договора, заключенного с банком, участвующим в программе, не должен превышать 36 месяцев. Кроме того, заемщик должен внести предоплату в размере не менее 10% от стоимости приобретаемого дома. И еще одно важное условие – обеспечением кредита являются личные средства или имущество заемщика. А срок передачи дома заемщику по договору купли-продажи должен составлять не более 4 месяцев с даты заключения такого договора. Помимо этого, важно, чтобы предприятие-изготовитель, у которого приобретается дом, отвечал определенным требованиям.</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Порядок деятельности кредитных потребительских кооперативов, микрофинансовых организаций и ломбардов хотят усовершенствовать</w:t>
      </w:r>
    </w:p>
    <w:p w:rsidR="00CC3CB3" w:rsidRDefault="00CC3CB3" w:rsidP="00CC3CB3">
      <w:pPr>
        <w:rPr>
          <w:lang w:eastAsia="ru-RU"/>
        </w:rPr>
      </w:pPr>
      <w:r>
        <w:rPr>
          <w:lang w:eastAsia="ru-RU"/>
        </w:rPr>
        <w:t>14 августа 2019</w:t>
      </w:r>
    </w:p>
    <w:p w:rsidR="00CC3CB3" w:rsidRDefault="00CC3CB3" w:rsidP="00CC3CB3">
      <w:pPr>
        <w:rPr>
          <w:lang w:eastAsia="ru-RU"/>
        </w:rPr>
      </w:pPr>
      <w:r>
        <w:rPr>
          <w:lang w:eastAsia="ru-RU"/>
        </w:rPr>
        <w:t>Правительство РФ внесло в Госдуму соответствующий законопроект. Он касается деятельности кредитных потребительских кооперативов (КПК), сельскохозяйственных кредитных потребительских кооперативов (СКПК), микрофинансовых организаций (МФО) и ломбардов и направлен на пресечение возможностей создания на их основе финансовых пирамид.</w:t>
      </w:r>
    </w:p>
    <w:p w:rsidR="00CC3CB3" w:rsidRDefault="00CC3CB3" w:rsidP="00CC3CB3">
      <w:pPr>
        <w:rPr>
          <w:lang w:eastAsia="ru-RU"/>
        </w:rPr>
      </w:pPr>
      <w:r>
        <w:rPr>
          <w:lang w:eastAsia="ru-RU"/>
        </w:rPr>
        <w:t>В отношении деятельности КПК поправками</w:t>
      </w:r>
      <w:hyperlink r:id="rId46" w:anchor="sdfootnote1sym" w:history="1">
        <w:r>
          <w:rPr>
            <w:rStyle w:val="a3"/>
            <w:vertAlign w:val="superscript"/>
            <w:lang w:eastAsia="ru-RU"/>
          </w:rPr>
          <w:t>1</w:t>
        </w:r>
      </w:hyperlink>
      <w:r>
        <w:rPr>
          <w:lang w:eastAsia="ru-RU"/>
        </w:rPr>
        <w:t> предусматривается:</w:t>
      </w:r>
    </w:p>
    <w:p w:rsidR="00CC3CB3" w:rsidRDefault="00CC3CB3" w:rsidP="00CC3CB3">
      <w:pPr>
        <w:numPr>
          <w:ilvl w:val="0"/>
          <w:numId w:val="5"/>
        </w:numPr>
        <w:rPr>
          <w:rFonts w:eastAsia="Times New Roman"/>
          <w:lang w:eastAsia="ru-RU"/>
        </w:rPr>
      </w:pPr>
      <w:r>
        <w:rPr>
          <w:rFonts w:eastAsia="Times New Roman"/>
          <w:lang w:eastAsia="ru-RU"/>
        </w:rPr>
        <w:t>установление дополнительных требований по раскрытию территориального, профессионального и социального принципа объединения членов кооператива (пайщиков);</w:t>
      </w:r>
    </w:p>
    <w:p w:rsidR="00CC3CB3" w:rsidRDefault="00CC3CB3" w:rsidP="00CC3CB3">
      <w:pPr>
        <w:numPr>
          <w:ilvl w:val="0"/>
          <w:numId w:val="5"/>
        </w:numPr>
        <w:rPr>
          <w:rFonts w:eastAsia="Times New Roman"/>
          <w:lang w:eastAsia="ru-RU"/>
        </w:rPr>
      </w:pPr>
      <w:r>
        <w:rPr>
          <w:rFonts w:eastAsia="Times New Roman"/>
          <w:lang w:eastAsia="ru-RU"/>
        </w:rPr>
        <w:t>уточнение сведений, содержащихся в уставе КПК;</w:t>
      </w:r>
    </w:p>
    <w:p w:rsidR="00CC3CB3" w:rsidRDefault="00CC3CB3" w:rsidP="00CC3CB3">
      <w:pPr>
        <w:numPr>
          <w:ilvl w:val="0"/>
          <w:numId w:val="5"/>
        </w:numPr>
        <w:rPr>
          <w:rFonts w:eastAsia="Times New Roman"/>
          <w:lang w:eastAsia="ru-RU"/>
        </w:rPr>
      </w:pPr>
      <w:r>
        <w:rPr>
          <w:rFonts w:eastAsia="Times New Roman"/>
          <w:lang w:eastAsia="ru-RU"/>
        </w:rPr>
        <w:t>регулирование процедурных вопросов, связанных с проведением общего собрания КПК (в т. ч. в форме собрания уполномоченных);</w:t>
      </w:r>
    </w:p>
    <w:p w:rsidR="00CC3CB3" w:rsidRDefault="00CC3CB3" w:rsidP="00CC3CB3">
      <w:pPr>
        <w:numPr>
          <w:ilvl w:val="0"/>
          <w:numId w:val="5"/>
        </w:numPr>
        <w:rPr>
          <w:rFonts w:eastAsia="Times New Roman"/>
          <w:lang w:eastAsia="ru-RU"/>
        </w:rPr>
      </w:pPr>
      <w:r>
        <w:rPr>
          <w:rFonts w:eastAsia="Times New Roman"/>
          <w:lang w:eastAsia="ru-RU"/>
        </w:rPr>
        <w:t>конкретизация прав физлиц – членов КПК в ходе проведения общего собрания, а также полномочий правления и единоличного исполнительного органа КПК;</w:t>
      </w:r>
    </w:p>
    <w:p w:rsidR="00CC3CB3" w:rsidRDefault="00CC3CB3" w:rsidP="00CC3CB3">
      <w:pPr>
        <w:numPr>
          <w:ilvl w:val="0"/>
          <w:numId w:val="5"/>
        </w:numPr>
        <w:rPr>
          <w:rFonts w:eastAsia="Times New Roman"/>
          <w:lang w:eastAsia="ru-RU"/>
        </w:rPr>
      </w:pPr>
      <w:r>
        <w:rPr>
          <w:rFonts w:eastAsia="Times New Roman"/>
          <w:lang w:eastAsia="ru-RU"/>
        </w:rPr>
        <w:t>введение персональной ответственности единоличного исполнительного органа за ведение реестра членов КПК и обязанности по раскрытию в Интернете информации о деятельности КПК с числом членов более 3 тыс. лиц;</w:t>
      </w:r>
    </w:p>
    <w:p w:rsidR="00CC3CB3" w:rsidRDefault="00CC3CB3" w:rsidP="00CC3CB3">
      <w:pPr>
        <w:numPr>
          <w:ilvl w:val="0"/>
          <w:numId w:val="5"/>
        </w:numPr>
        <w:rPr>
          <w:rFonts w:eastAsia="Times New Roman"/>
          <w:lang w:eastAsia="ru-RU"/>
        </w:rPr>
      </w:pPr>
      <w:r>
        <w:rPr>
          <w:rFonts w:eastAsia="Times New Roman"/>
          <w:lang w:eastAsia="ru-RU"/>
        </w:rPr>
        <w:t>установление требования о необходимости уведомления Банка России об открытии обособленных подразделений КПК;</w:t>
      </w:r>
    </w:p>
    <w:p w:rsidR="00CC3CB3" w:rsidRDefault="00CC3CB3" w:rsidP="00CC3CB3">
      <w:pPr>
        <w:numPr>
          <w:ilvl w:val="0"/>
          <w:numId w:val="5"/>
        </w:numPr>
        <w:rPr>
          <w:rFonts w:eastAsia="Times New Roman"/>
          <w:lang w:eastAsia="ru-RU"/>
        </w:rPr>
      </w:pPr>
      <w:r>
        <w:rPr>
          <w:rFonts w:eastAsia="Times New Roman"/>
          <w:lang w:eastAsia="ru-RU"/>
        </w:rPr>
        <w:t>исключение возможности реорганизации КПК путем преобразования.</w:t>
      </w:r>
    </w:p>
    <w:p w:rsidR="00CC3CB3" w:rsidRDefault="00CC3CB3" w:rsidP="00CC3CB3">
      <w:pPr>
        <w:rPr>
          <w:lang w:eastAsia="ru-RU"/>
        </w:rPr>
      </w:pPr>
      <w:r>
        <w:rPr>
          <w:lang w:eastAsia="ru-RU"/>
        </w:rPr>
        <w:t>В свою очередь, для СКПК планируется установить обязанность указывать в полном наименовании слово "кредитный", ограничив при этом использование наименований и сокращений СКПК, КПК, а также МФО для иных юрлиц. Одновременно вводится ограничение на избрание или назначение в состав правления СКПК, его наблюдательного совета или на должности председателя и исполнительного директора СКПК лиц, имеющих неснятую или непогашенную судимость за преступление в сфере экономической деятельности или преступление против госвласти. Что касается существующих сельскохозяйственных страховых кооперативов, то им разрешено в течение полугода после принятия поправок привести свою деятельность в соответствие с законодательством РФ путем оформления лицензии на осуществление взаимного страхования или реорганизации, иначе придется осуществить ликвидацию таких кооперативов.</w:t>
      </w:r>
    </w:p>
    <w:p w:rsidR="00CC3CB3" w:rsidRDefault="00CC3CB3" w:rsidP="00CC3CB3">
      <w:pPr>
        <w:rPr>
          <w:lang w:eastAsia="ru-RU"/>
        </w:rPr>
      </w:pPr>
      <w:r>
        <w:rPr>
          <w:lang w:eastAsia="ru-RU"/>
        </w:rPr>
        <w:t xml:space="preserve">Изменения, затрагивающие МФО, касаются наименования. Предлагается разрешить юрлицам, желающим приобрести статус МФО, использовать в своем наименовании словосочетание "микрофинансовая компания" или "микрокредитная компания" в течение 90 календарных дней </w:t>
      </w:r>
      <w:r>
        <w:rPr>
          <w:lang w:eastAsia="ru-RU"/>
        </w:rPr>
        <w:lastRenderedPageBreak/>
        <w:t>со дня госрегистрации в качестве юрлица либо со дня госрегистрации изменений, связанных с наименованием юрлица.</w:t>
      </w:r>
    </w:p>
    <w:p w:rsidR="00CC3CB3" w:rsidRDefault="00CC3CB3" w:rsidP="00CC3CB3">
      <w:pPr>
        <w:rPr>
          <w:lang w:eastAsia="ru-RU"/>
        </w:rPr>
      </w:pPr>
      <w:r>
        <w:rPr>
          <w:lang w:eastAsia="ru-RU"/>
        </w:rPr>
        <w:t>Наконец, законопроектом предлагается упорядочить процедуру допуска ломбардов на финансовый рынок. Для этого планируется закрепить в Федеральном законе от 19 июля 2007 г. № 196-ФЗ "</w:t>
      </w:r>
      <w:hyperlink r:id="rId47" w:history="1">
        <w:r>
          <w:rPr>
            <w:rStyle w:val="a3"/>
            <w:lang w:eastAsia="ru-RU"/>
          </w:rPr>
          <w:t>О ломбардах</w:t>
        </w:r>
      </w:hyperlink>
      <w:r>
        <w:rPr>
          <w:lang w:eastAsia="ru-RU"/>
        </w:rPr>
        <w:t>" порядок ведения Банком России государственного реестра ломбардов, правила приобретения статуса ломбарда (приобретение такого статуса связывается с фактом внесения сведений о юрлице в реестр ломбардов), включая основания для отказа во включении сведений в реестр ломбардов и правила исключения таких сведений из реестра. Также предполагается расширить полномочия ломбарда в части возможности сдачи в аренду (субаренду) недвижимого имущества и осуществления деятельности банковского платежного агента.</w:t>
      </w:r>
    </w:p>
    <w:p w:rsidR="00CC3CB3" w:rsidRDefault="00CC3CB3" w:rsidP="00CC3CB3">
      <w:pPr>
        <w:rPr>
          <w:lang w:eastAsia="ru-RU"/>
        </w:rPr>
      </w:pPr>
      <w:r>
        <w:rPr>
          <w:lang w:eastAsia="ru-RU"/>
        </w:rPr>
        <w:t>Из-за необходимости разработки и принятия Банком России нормативных актов, направленных на реализацию поправок, предусмотрен отлагательный срок вступления их в силу – через 180 дней после официального опубликования соответствующего закона.</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В УК РФ и КоАП РФ появилось определение "шпионской" техники</w:t>
      </w:r>
    </w:p>
    <w:p w:rsidR="00CC3CB3" w:rsidRDefault="00CC3CB3" w:rsidP="00CC3CB3">
      <w:pPr>
        <w:rPr>
          <w:lang w:eastAsia="ru-RU"/>
        </w:rPr>
      </w:pPr>
      <w:r>
        <w:rPr>
          <w:lang w:eastAsia="ru-RU"/>
        </w:rPr>
        <w:t>14 августа 2019</w:t>
      </w:r>
    </w:p>
    <w:p w:rsidR="00CC3CB3" w:rsidRDefault="00CC3CB3" w:rsidP="00CC3CB3">
      <w:pPr>
        <w:rPr>
          <w:lang w:eastAsia="ru-RU"/>
        </w:rPr>
      </w:pPr>
      <w:r>
        <w:rPr>
          <w:lang w:eastAsia="ru-RU"/>
        </w:rPr>
        <w:t>13 августа 2019 года вступили в силу поправки в </w:t>
      </w:r>
      <w:hyperlink r:id="rId48" w:history="1">
        <w:r>
          <w:rPr>
            <w:rStyle w:val="a3"/>
            <w:lang w:eastAsia="ru-RU"/>
          </w:rPr>
          <w:t>Уголовный кодекс</w:t>
        </w:r>
      </w:hyperlink>
      <w:r>
        <w:rPr>
          <w:lang w:eastAsia="ru-RU"/>
        </w:rPr>
        <w:t>, согласно которым </w:t>
      </w:r>
      <w:hyperlink r:id="rId49" w:anchor="block_1381" w:history="1">
        <w:r>
          <w:rPr>
            <w:rStyle w:val="a3"/>
            <w:lang w:eastAsia="ru-RU"/>
          </w:rPr>
          <w:t>статья 138.1 Кодекса</w:t>
        </w:r>
      </w:hyperlink>
      <w:r>
        <w:rPr>
          <w:lang w:eastAsia="ru-RU"/>
        </w:rPr>
        <w:t>, предусматривающая ответственность за незаконный оборот специальных технических средств, предназначенных для негласного получения информации, дополнена примечанием, содержащим определение таких средств (</w:t>
      </w:r>
      <w:hyperlink r:id="rId50" w:history="1">
        <w:r>
          <w:rPr>
            <w:rStyle w:val="a3"/>
            <w:lang w:eastAsia="ru-RU"/>
          </w:rPr>
          <w:t>Федеральный закон от 2 августа 2019 г. № 308-ФЗ</w:t>
        </w:r>
      </w:hyperlink>
      <w:r>
        <w:rPr>
          <w:lang w:eastAsia="ru-RU"/>
        </w:rPr>
        <w:t> и </w:t>
      </w:r>
      <w:hyperlink r:id="rId51" w:history="1">
        <w:r>
          <w:rPr>
            <w:rStyle w:val="a3"/>
            <w:lang w:eastAsia="ru-RU"/>
          </w:rPr>
          <w:t>Федеральный закон от 2 августа 2019 г. № 314-ФЗ</w:t>
        </w:r>
      </w:hyperlink>
      <w:r>
        <w:rPr>
          <w:lang w:eastAsia="ru-RU"/>
        </w:rPr>
        <w:t>).</w:t>
      </w:r>
    </w:p>
    <w:p w:rsidR="00CC3CB3" w:rsidRDefault="00CC3CB3" w:rsidP="00CC3CB3">
      <w:pPr>
        <w:rPr>
          <w:lang w:eastAsia="ru-RU"/>
        </w:rPr>
      </w:pPr>
      <w:r>
        <w:rPr>
          <w:lang w:eastAsia="ru-RU"/>
        </w:rPr>
        <w:t>Под специальными техническими средствами, предназначенными для негласного получения информации,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CC3CB3" w:rsidRDefault="00CC3CB3" w:rsidP="00CC3CB3">
      <w:pPr>
        <w:rPr>
          <w:lang w:eastAsia="ru-RU"/>
        </w:rPr>
      </w:pPr>
      <w:r>
        <w:rPr>
          <w:lang w:eastAsia="ru-RU"/>
        </w:rPr>
        <w:t>При этом к категории "шпионских" техсредств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w:t>
      </w:r>
    </w:p>
    <w:p w:rsidR="00CC3CB3" w:rsidRDefault="00CC3CB3" w:rsidP="00CC3CB3">
      <w:pPr>
        <w:numPr>
          <w:ilvl w:val="0"/>
          <w:numId w:val="6"/>
        </w:numPr>
        <w:rPr>
          <w:rFonts w:eastAsia="Times New Roman"/>
          <w:lang w:eastAsia="ru-RU"/>
        </w:rPr>
      </w:pPr>
      <w:r>
        <w:rPr>
          <w:rFonts w:eastAsia="Times New Roman"/>
          <w:lang w:eastAsia="ru-RU"/>
        </w:rPr>
        <w:t>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ПО с элементами индикации, отображающими режимы его использования и указывающими на его функциональное назначение;</w:t>
      </w:r>
    </w:p>
    <w:p w:rsidR="00CC3CB3" w:rsidRDefault="00CC3CB3" w:rsidP="00CC3CB3">
      <w:pPr>
        <w:numPr>
          <w:ilvl w:val="0"/>
          <w:numId w:val="6"/>
        </w:numPr>
        <w:rPr>
          <w:rFonts w:eastAsia="Times New Roman"/>
          <w:lang w:eastAsia="ru-RU"/>
        </w:rPr>
      </w:pPr>
      <w:r>
        <w:rPr>
          <w:rFonts w:eastAsia="Times New Roman"/>
          <w:lang w:eastAsia="ru-RU"/>
        </w:rPr>
        <w:t>и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CC3CB3" w:rsidRDefault="00CC3CB3" w:rsidP="00CC3CB3">
      <w:pPr>
        <w:rPr>
          <w:lang w:eastAsia="ru-RU"/>
        </w:rPr>
      </w:pPr>
      <w:r>
        <w:rPr>
          <w:lang w:eastAsia="ru-RU"/>
        </w:rPr>
        <w:t>А в </w:t>
      </w:r>
      <w:hyperlink r:id="rId52" w:anchor="block_2023" w:history="1">
        <w:r>
          <w:rPr>
            <w:rStyle w:val="a3"/>
            <w:lang w:eastAsia="ru-RU"/>
          </w:rPr>
          <w:t>ст. 20.23 КоАП</w:t>
        </w:r>
      </w:hyperlink>
      <w:r>
        <w:rPr>
          <w:lang w:eastAsia="ru-RU"/>
        </w:rPr>
        <w:t> ("Нарушение правил производства, хранения, продажи и приобретения специальных технических средств, предназначенных для негласного получения информации") с этой же даты появилось примечание, содержащее отсылку в части определения таких средств к </w:t>
      </w:r>
      <w:hyperlink r:id="rId53" w:anchor="block_1381" w:history="1">
        <w:r>
          <w:rPr>
            <w:rStyle w:val="a3"/>
            <w:lang w:eastAsia="ru-RU"/>
          </w:rPr>
          <w:t>ст. 138.1 УК РФ</w:t>
        </w:r>
      </w:hyperlink>
      <w:r>
        <w:rPr>
          <w:lang w:eastAsia="ru-RU"/>
        </w:rPr>
        <w:t>.</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В Госдуме рекомендовали отказаться от эксплуатации старых коммерческих автомобилей</w:t>
      </w:r>
    </w:p>
    <w:p w:rsidR="00CC3CB3" w:rsidRDefault="00CC3CB3" w:rsidP="00CC3CB3">
      <w:pPr>
        <w:rPr>
          <w:lang w:eastAsia="ru-RU"/>
        </w:rPr>
      </w:pPr>
      <w:r>
        <w:rPr>
          <w:lang w:eastAsia="ru-RU"/>
        </w:rPr>
        <w:t>14 августа 2019</w:t>
      </w:r>
    </w:p>
    <w:p w:rsidR="00CC3CB3" w:rsidRDefault="00CC3CB3" w:rsidP="00CC3CB3">
      <w:pPr>
        <w:rPr>
          <w:lang w:eastAsia="ru-RU"/>
        </w:rPr>
      </w:pPr>
      <w:r>
        <w:rPr>
          <w:lang w:eastAsia="ru-RU"/>
        </w:rPr>
        <w:t>Эту идею прокомментировала заместитель Председателя Комитета Госдумы по экономической политике, промышленности, инновационному развитию и предпринимательству </w:t>
      </w:r>
      <w:r>
        <w:rPr>
          <w:b/>
          <w:bCs/>
          <w:lang w:eastAsia="ru-RU"/>
        </w:rPr>
        <w:t>Альфия Когогина</w:t>
      </w:r>
      <w:r>
        <w:rPr>
          <w:lang w:eastAsia="ru-RU"/>
        </w:rPr>
        <w:t>, о чем сообщается на официальном сайте нижней палаты парламента.</w:t>
      </w:r>
    </w:p>
    <w:p w:rsidR="00CC3CB3" w:rsidRDefault="00CC3CB3" w:rsidP="00CC3CB3">
      <w:pPr>
        <w:rPr>
          <w:lang w:eastAsia="ru-RU"/>
        </w:rPr>
      </w:pPr>
      <w:r>
        <w:rPr>
          <w:lang w:eastAsia="ru-RU"/>
        </w:rPr>
        <w:lastRenderedPageBreak/>
        <w:t>Речь идет о рекомендациях, разработанных по итогам круглого стола, посвященного обсуждению вопроса вклада автотранспорта в реализацию национального проекта "Экология". В частности, в ходе мероприятия была затронута проблема влияния экологически грязного устаревшего транспорта на загрязнение воздуха. По данным исследований, загрязнение воздуха автотранспортом в целом по стране составляет 60-65% от общего показателя, а в мегаполисах (например, в Москве) достигает 85%. В связи с этим Правительству РФ предлагается подумать над мерами, способствующими решению указанной проблемы.</w:t>
      </w:r>
    </w:p>
    <w:p w:rsidR="00CC3CB3" w:rsidRDefault="00CC3CB3" w:rsidP="00CC3CB3">
      <w:pPr>
        <w:rPr>
          <w:lang w:eastAsia="ru-RU"/>
        </w:rPr>
      </w:pPr>
      <w:r>
        <w:rPr>
          <w:lang w:eastAsia="ru-RU"/>
        </w:rPr>
        <w:t>"Как мы предлагаем ее решить. С одной стороны, помочь тем предпринимателям, у которых очень старые, явно экологически грязные автомобили, обновить свои парки", – подчеркнула Альфия Когогина. В числе возможных мер указываются также:</w:t>
      </w:r>
    </w:p>
    <w:p w:rsidR="00CC3CB3" w:rsidRDefault="00CC3CB3" w:rsidP="00CC3CB3">
      <w:pPr>
        <w:numPr>
          <w:ilvl w:val="0"/>
          <w:numId w:val="7"/>
        </w:numPr>
        <w:rPr>
          <w:rFonts w:eastAsia="Times New Roman"/>
          <w:lang w:eastAsia="ru-RU"/>
        </w:rPr>
      </w:pPr>
      <w:r>
        <w:rPr>
          <w:rFonts w:eastAsia="Times New Roman"/>
          <w:lang w:eastAsia="ru-RU"/>
        </w:rPr>
        <w:t>введение повышенных налогов на экологически грязные автомобили;</w:t>
      </w:r>
    </w:p>
    <w:p w:rsidR="00CC3CB3" w:rsidRDefault="00CC3CB3" w:rsidP="00CC3CB3">
      <w:pPr>
        <w:numPr>
          <w:ilvl w:val="0"/>
          <w:numId w:val="7"/>
        </w:numPr>
        <w:rPr>
          <w:rFonts w:eastAsia="Times New Roman"/>
          <w:lang w:eastAsia="ru-RU"/>
        </w:rPr>
      </w:pPr>
      <w:r>
        <w:rPr>
          <w:rFonts w:eastAsia="Times New Roman"/>
          <w:lang w:eastAsia="ru-RU"/>
        </w:rPr>
        <w:t>разработка программы ускоренной замены старых автомобилей на более современные;</w:t>
      </w:r>
    </w:p>
    <w:p w:rsidR="00CC3CB3" w:rsidRDefault="00CC3CB3" w:rsidP="00CC3CB3">
      <w:pPr>
        <w:numPr>
          <w:ilvl w:val="0"/>
          <w:numId w:val="7"/>
        </w:numPr>
        <w:rPr>
          <w:rFonts w:eastAsia="Times New Roman"/>
          <w:lang w:eastAsia="ru-RU"/>
        </w:rPr>
      </w:pPr>
      <w:r>
        <w:rPr>
          <w:rFonts w:eastAsia="Times New Roman"/>
          <w:lang w:eastAsia="ru-RU"/>
        </w:rPr>
        <w:t>льготный лизинг или кредит, субсидирование стоимости и т. д.</w:t>
      </w:r>
    </w:p>
    <w:p w:rsidR="00CC3CB3" w:rsidRDefault="00CC3CB3" w:rsidP="00CC3CB3">
      <w:pPr>
        <w:rPr>
          <w:lang w:eastAsia="ru-RU"/>
        </w:rPr>
      </w:pPr>
      <w:r>
        <w:rPr>
          <w:lang w:eastAsia="ru-RU"/>
        </w:rPr>
        <w:t>При этом парламентарий обратила внимание на то, что все эти меры предусмотрены применительно к коммерческому транспорту. "О личном транспорте речь не идет. Никто не говорит о тех автомобилях, на которых граждане ездят сами, возят своих детей или рассаду на дачу. Речь идет о коммерческих автомобилях, на которых зарабатывают деньги", – заключила она.</w:t>
      </w:r>
    </w:p>
    <w:p w:rsidR="00CC3CB3" w:rsidRDefault="00CC3CB3" w:rsidP="00CC3CB3">
      <w:pPr>
        <w:rPr>
          <w:lang w:eastAsia="ru-RU"/>
        </w:rPr>
      </w:pPr>
      <w:r>
        <w:rPr>
          <w:lang w:eastAsia="ru-RU"/>
        </w:rPr>
        <w:t>Свою точку зрения высказал и депутат </w:t>
      </w:r>
      <w:r>
        <w:rPr>
          <w:b/>
          <w:bCs/>
          <w:lang w:eastAsia="ru-RU"/>
        </w:rPr>
        <w:t>Андрей Исаев,</w:t>
      </w:r>
      <w:r>
        <w:rPr>
          <w:lang w:eastAsia="ru-RU"/>
        </w:rPr>
        <w:t> который считает, что замену устаревшего автотранспорта необходимо вводить не через его запрет для частных автовладельцев, а через их поощрение при замене старых машин на новые. "Должна быть создана система преференций, связанных с приобретением новых автомобилей при утилизации старых", – уверен он. Также парламентарий добавил, что обязательный запрет может распространяться только на транспорт, для которого законодательством уже установлены ограничения, – общественный транспорт, транспорт, занимающийся перевозкой детей, инвалидов.</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Банк России обновит правила наличных расчетов</w:t>
      </w:r>
    </w:p>
    <w:p w:rsidR="00CC3CB3" w:rsidRDefault="00CC3CB3" w:rsidP="00CC3CB3">
      <w:pPr>
        <w:rPr>
          <w:lang w:eastAsia="ru-RU"/>
        </w:rPr>
      </w:pPr>
      <w:r>
        <w:rPr>
          <w:lang w:eastAsia="ru-RU"/>
        </w:rPr>
        <w:t>14 августа 2019</w:t>
      </w:r>
    </w:p>
    <w:p w:rsidR="00CC3CB3" w:rsidRDefault="00CC3CB3" w:rsidP="00CC3CB3">
      <w:pPr>
        <w:rPr>
          <w:lang w:eastAsia="ru-RU"/>
        </w:rPr>
      </w:pPr>
      <w:r>
        <w:rPr>
          <w:lang w:eastAsia="ru-RU"/>
        </w:rPr>
        <w:t>Банк России разработал проект нового Указания о наличных расчетах взамен </w:t>
      </w:r>
      <w:hyperlink r:id="rId54" w:history="1">
        <w:r>
          <w:rPr>
            <w:rStyle w:val="a3"/>
            <w:lang w:eastAsia="ru-RU"/>
          </w:rPr>
          <w:t>Указания Банка России от 7 октября 2013 г. № 3073-У</w:t>
        </w:r>
      </w:hyperlink>
      <w:r>
        <w:rPr>
          <w:lang w:eastAsia="ru-RU"/>
        </w:rPr>
        <w:t>. Лимит расчетов между собой для юрлиц и ИП останется прежним – 100 тыс. руб. по одному договору. Также не изменятся направления и правила расходования наличной выручки (проект Указания Банка России "</w:t>
      </w:r>
      <w:hyperlink r:id="rId55" w:history="1">
        <w:r>
          <w:rPr>
            <w:rStyle w:val="a3"/>
            <w:lang w:eastAsia="ru-RU"/>
          </w:rPr>
          <w:t>О правилах наличных расчетов</w:t>
        </w:r>
      </w:hyperlink>
      <w:r>
        <w:rPr>
          <w:lang w:eastAsia="ru-RU"/>
        </w:rPr>
        <w:t>").</w:t>
      </w:r>
    </w:p>
    <w:p w:rsidR="00CC3CB3" w:rsidRDefault="00CC3CB3" w:rsidP="00CC3CB3">
      <w:pPr>
        <w:rPr>
          <w:lang w:eastAsia="ru-RU"/>
        </w:rPr>
      </w:pPr>
      <w:r>
        <w:rPr>
          <w:lang w:eastAsia="ru-RU"/>
        </w:rPr>
        <w:t>Основные нововведения касаются участников микрофинансового рынка. Им разрешат расходовать возвращаемые в их кассы займы и уплаченные проценты по ним на операции по выдаче и возврату займов, уплату процентов по ним в пределах лимитов по каждому договору займа, а также дневного лимита объема наличных расчетов.</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Предлагается установить размер госпошлины за внесение сведений об организации в реестр ломбардов</w:t>
      </w:r>
    </w:p>
    <w:p w:rsidR="00CC3CB3" w:rsidRDefault="00CC3CB3" w:rsidP="00CC3CB3">
      <w:pPr>
        <w:rPr>
          <w:lang w:eastAsia="ru-RU"/>
        </w:rPr>
      </w:pPr>
      <w:r>
        <w:rPr>
          <w:lang w:eastAsia="ru-RU"/>
        </w:rPr>
        <w:t>14 августа 2019</w:t>
      </w:r>
    </w:p>
    <w:p w:rsidR="00CC3CB3" w:rsidRDefault="00CC3CB3" w:rsidP="00CC3CB3">
      <w:pPr>
        <w:rPr>
          <w:lang w:eastAsia="ru-RU"/>
        </w:rPr>
      </w:pPr>
      <w:r>
        <w:rPr>
          <w:lang w:eastAsia="ru-RU"/>
        </w:rPr>
        <w:t>На официальном сайте Госдумы опубликован законопроект, предусматривающий поправки в налоговое законодательство в части введения госпошлины за внесение сведений о юрлице в государственный реестр ломбардов</w:t>
      </w:r>
      <w:hyperlink r:id="rId56" w:anchor="sdfootnote1sym" w:history="1">
        <w:r>
          <w:rPr>
            <w:rStyle w:val="a3"/>
            <w:vertAlign w:val="superscript"/>
            <w:lang w:eastAsia="ru-RU"/>
          </w:rPr>
          <w:t>1</w:t>
        </w:r>
      </w:hyperlink>
      <w:r>
        <w:rPr>
          <w:lang w:eastAsia="ru-RU"/>
        </w:rPr>
        <w:t>. Размер госпошлины предлагается установить равным 1,5 тыс. руб. Планируется, что нововведения вступят в силу с 1 января 2020 года.</w:t>
      </w:r>
    </w:p>
    <w:p w:rsidR="00CC3CB3" w:rsidRDefault="00CC3CB3" w:rsidP="00CC3CB3">
      <w:pPr>
        <w:rPr>
          <w:lang w:eastAsia="ru-RU"/>
        </w:rPr>
      </w:pPr>
      <w:r>
        <w:rPr>
          <w:lang w:eastAsia="ru-RU"/>
        </w:rPr>
        <w:t>Инициирован законопроект в связи с </w:t>
      </w:r>
      <w:hyperlink r:id="rId57" w:history="1">
        <w:r>
          <w:rPr>
            <w:rStyle w:val="a3"/>
            <w:lang w:eastAsia="ru-RU"/>
          </w:rPr>
          <w:t>распоряжением Правительства РФ от 3 августа 2019 г. № 1733-р</w:t>
        </w:r>
      </w:hyperlink>
      <w:r>
        <w:rPr>
          <w:lang w:eastAsia="ru-RU"/>
        </w:rPr>
        <w:t> о </w:t>
      </w:r>
      <w:hyperlink r:id="rId58" w:history="1">
        <w:r>
          <w:rPr>
            <w:rStyle w:val="a3"/>
            <w:lang w:eastAsia="ru-RU"/>
          </w:rPr>
          <w:t>совершенствовании</w:t>
        </w:r>
      </w:hyperlink>
      <w:r>
        <w:rPr>
          <w:lang w:eastAsia="ru-RU"/>
        </w:rPr>
        <w:t> процедуры допуска ломбардов на финансовый рынок, а также принципов функционирования кредитных кооперативов и информирования потребителей финансовых услуг микрофинансовых институтов.</w:t>
      </w:r>
    </w:p>
    <w:p w:rsidR="00CC3CB3" w:rsidRDefault="00CC3CB3" w:rsidP="00CC3CB3">
      <w:pPr>
        <w:rPr>
          <w:lang w:eastAsia="ru-RU"/>
        </w:rPr>
      </w:pPr>
      <w:r>
        <w:rPr>
          <w:lang w:eastAsia="ru-RU"/>
        </w:rPr>
        <w:t xml:space="preserve">Как сообщается в пояснительной записке к законопроекту, указанный размер госпошлины идентичен плате за внесение сведений в государственный реестр микрофинансовых организаций. Ведь процедуры по ведению государственного реестра ломбардов аналогичны с осуществляемыми при ведении государственного реестра микрофинансовых организаций. Кроме </w:t>
      </w:r>
      <w:r>
        <w:rPr>
          <w:lang w:eastAsia="ru-RU"/>
        </w:rPr>
        <w:lastRenderedPageBreak/>
        <w:t>того, предусматривается схожий набор регистрационных и надзорных действий по проверке соответствия деятельности ломбарда требованиям законодательства перед внесением сведений о нем в государственный реестр ломбардов.</w:t>
      </w:r>
    </w:p>
    <w:p w:rsidR="00CC3CB3" w:rsidRDefault="00CC3CB3" w:rsidP="00CC3CB3">
      <w:pPr>
        <w:rPr>
          <w:lang w:eastAsia="ru-RU"/>
        </w:rPr>
      </w:pPr>
      <w:r>
        <w:rPr>
          <w:lang w:eastAsia="ru-RU"/>
        </w:rPr>
        <w:t>Также законопроектом предусматривается отмена госпошлины за выдачу дубликата свидетельства о внесении сведений о юридическом лице в государственный реестр микрофинансовых организаций взамен утраченного или пришедшего в негодность (в настоящее время она составляет 300 руб.). Такие меры также согласуются с вышеуказанным </w:t>
      </w:r>
      <w:hyperlink r:id="rId59" w:history="1">
        <w:r>
          <w:rPr>
            <w:rStyle w:val="a3"/>
            <w:lang w:eastAsia="ru-RU"/>
          </w:rPr>
          <w:t>распоряжением Правительства РФ</w:t>
        </w:r>
      </w:hyperlink>
      <w:r>
        <w:rPr>
          <w:lang w:eastAsia="ru-RU"/>
        </w:rPr>
        <w:t>.</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Санкции за недобросовестные действия при истребовании долгов с граждан могут распространить на кредитные организации</w:t>
      </w:r>
    </w:p>
    <w:p w:rsidR="00CC3CB3" w:rsidRDefault="00CC3CB3" w:rsidP="00CC3CB3">
      <w:pPr>
        <w:rPr>
          <w:lang w:eastAsia="ru-RU"/>
        </w:rPr>
      </w:pPr>
      <w:r>
        <w:rPr>
          <w:lang w:eastAsia="ru-RU"/>
        </w:rPr>
        <w:t>15 августа 2019</w:t>
      </w:r>
    </w:p>
    <w:p w:rsidR="00CC3CB3" w:rsidRDefault="00CC3CB3" w:rsidP="00CC3CB3">
      <w:pPr>
        <w:rPr>
          <w:lang w:eastAsia="ru-RU"/>
        </w:rPr>
      </w:pPr>
      <w:r>
        <w:rPr>
          <w:lang w:eastAsia="ru-RU"/>
        </w:rPr>
        <w:t>Минюст России приступил к разработке законопроекта, направленного на корректировку норм об административной ответственности за нарушение требований законодательства о защите прав и законных интересов физлиц при осуществлении деятельности по возврату просроченной задолженности. Уведомление о его подготовке появилось на федеральном портале проектов нормативных правовых актов.</w:t>
      </w:r>
    </w:p>
    <w:p w:rsidR="00CC3CB3" w:rsidRDefault="00CC3CB3" w:rsidP="00CC3CB3">
      <w:pPr>
        <w:rPr>
          <w:lang w:eastAsia="ru-RU"/>
        </w:rPr>
      </w:pPr>
      <w:r>
        <w:rPr>
          <w:lang w:eastAsia="ru-RU"/>
        </w:rPr>
        <w:t>Речь идет о </w:t>
      </w:r>
      <w:hyperlink r:id="rId60" w:anchor="block_14571" w:history="1">
        <w:r>
          <w:rPr>
            <w:rStyle w:val="a3"/>
            <w:lang w:eastAsia="ru-RU"/>
          </w:rPr>
          <w:t>ч. 1 ст. 14.57 КоАП РФ</w:t>
        </w:r>
      </w:hyperlink>
      <w:r>
        <w:rPr>
          <w:lang w:eastAsia="ru-RU"/>
        </w:rPr>
        <w:t>, предусматривающей штрафы за совершение кредитором или лицом, действующим от его имени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РФ о защите прав и законных интересов физлиц при осуществлении деятельности по возврату просроченной задолженности. Поправками планируется включить кредитные организации в число субъектов указанного административного правонарушения.</w:t>
      </w:r>
    </w:p>
    <w:p w:rsidR="00CC3CB3" w:rsidRDefault="00CC3CB3" w:rsidP="00CC3CB3">
      <w:pPr>
        <w:rPr>
          <w:lang w:eastAsia="ru-RU"/>
        </w:rPr>
      </w:pPr>
      <w:r>
        <w:rPr>
          <w:lang w:eastAsia="ru-RU"/>
        </w:rPr>
        <w:t>Также Минюст России намерен усилить административные санкции за это деяние. Напомним, в настоящее время его совершение влечет наложение штрафа на граждан в размере 5-50 тыс. руб., на должностных лиц – 10-100 тыс. руб. или дисквалификацию на срок от шести месяцев до года, на юрлиц – 20-200 тыс. руб. Как изменятся размеры штрафов, неизвестно – пока министерство анонсировало только повышение мер ответственности.</w:t>
      </w:r>
    </w:p>
    <w:p w:rsidR="00CC3CB3" w:rsidRDefault="00CC3CB3" w:rsidP="00CC3CB3">
      <w:pPr>
        <w:rPr>
          <w:lang w:eastAsia="ru-RU"/>
        </w:rPr>
      </w:pPr>
      <w:r>
        <w:rPr>
          <w:lang w:eastAsia="ru-RU"/>
        </w:rPr>
        <w:t>Разработчики инициативы</w:t>
      </w:r>
      <w:hyperlink r:id="rId61" w:anchor="sdfootnote1sym" w:history="1">
        <w:r>
          <w:rPr>
            <w:rStyle w:val="a3"/>
            <w:vertAlign w:val="superscript"/>
            <w:lang w:eastAsia="ru-RU"/>
          </w:rPr>
          <w:t>1</w:t>
        </w:r>
      </w:hyperlink>
      <w:r>
        <w:rPr>
          <w:lang w:eastAsia="ru-RU"/>
        </w:rPr>
        <w:t> считают, что предлагаемые поправки позволят усовершенствовать механизмы защиты прав граждан от недобросовестных действий при осуществлении возврата просроченной задолженности. По их мнению, этого будет достаточно для создания условий к достижению цели административного наказания – предупреждения совершения новых правонарушений как самим правонарушителем, так и другими лицами.</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Минтруд России планирует обновить правила охраны труда в отдельных организациях</w:t>
      </w:r>
    </w:p>
    <w:p w:rsidR="00CC3CB3" w:rsidRDefault="00CC3CB3" w:rsidP="00CC3CB3">
      <w:pPr>
        <w:rPr>
          <w:lang w:eastAsia="ru-RU"/>
        </w:rPr>
      </w:pPr>
      <w:r>
        <w:rPr>
          <w:lang w:eastAsia="ru-RU"/>
        </w:rPr>
        <w:t>15 августа 2019</w:t>
      </w:r>
    </w:p>
    <w:p w:rsidR="00CC3CB3" w:rsidRDefault="00CC3CB3" w:rsidP="00CC3CB3">
      <w:pPr>
        <w:rPr>
          <w:lang w:eastAsia="ru-RU"/>
        </w:rPr>
      </w:pPr>
      <w:r>
        <w:rPr>
          <w:lang w:eastAsia="ru-RU"/>
        </w:rPr>
        <w:t>Уведомления о начале разработки соответствующих проектов документов появились на федеральном портале проектов нормативных правовых актов.</w:t>
      </w:r>
    </w:p>
    <w:p w:rsidR="00CC3CB3" w:rsidRDefault="00CC3CB3" w:rsidP="00CC3CB3">
      <w:pPr>
        <w:rPr>
          <w:lang w:eastAsia="ru-RU"/>
        </w:rPr>
      </w:pPr>
      <w:r>
        <w:rPr>
          <w:lang w:eastAsia="ru-RU"/>
        </w:rPr>
        <w:t>Речь идет о проектах правил по охране труда в:</w:t>
      </w:r>
    </w:p>
    <w:p w:rsidR="00CC3CB3" w:rsidRDefault="00CC3CB3" w:rsidP="00CC3CB3">
      <w:pPr>
        <w:numPr>
          <w:ilvl w:val="0"/>
          <w:numId w:val="8"/>
        </w:numPr>
        <w:rPr>
          <w:rFonts w:eastAsia="Times New Roman"/>
          <w:lang w:eastAsia="ru-RU"/>
        </w:rPr>
      </w:pPr>
      <w:r>
        <w:rPr>
          <w:rFonts w:eastAsia="Times New Roman"/>
          <w:lang w:eastAsia="ru-RU"/>
        </w:rPr>
        <w:t>организациях отдыха и оздоровления детей</w:t>
      </w:r>
      <w:hyperlink r:id="rId62" w:anchor="sdfootnote1sym" w:history="1">
        <w:r>
          <w:rPr>
            <w:rStyle w:val="a3"/>
            <w:rFonts w:eastAsia="Times New Roman"/>
            <w:vertAlign w:val="superscript"/>
            <w:lang w:eastAsia="ru-RU"/>
          </w:rPr>
          <w:t>1</w:t>
        </w:r>
      </w:hyperlink>
      <w:r>
        <w:rPr>
          <w:rFonts w:eastAsia="Times New Roman"/>
          <w:lang w:eastAsia="ru-RU"/>
        </w:rPr>
        <w:t>;</w:t>
      </w:r>
    </w:p>
    <w:p w:rsidR="00CC3CB3" w:rsidRDefault="00CC3CB3" w:rsidP="00CC3CB3">
      <w:pPr>
        <w:numPr>
          <w:ilvl w:val="0"/>
          <w:numId w:val="8"/>
        </w:numPr>
        <w:rPr>
          <w:rFonts w:eastAsia="Times New Roman"/>
          <w:lang w:eastAsia="ru-RU"/>
        </w:rPr>
      </w:pPr>
      <w:r>
        <w:rPr>
          <w:rFonts w:eastAsia="Times New Roman"/>
          <w:lang w:eastAsia="ru-RU"/>
        </w:rPr>
        <w:t>учреждениях здравоохранения и аптеках</w:t>
      </w:r>
      <w:bookmarkStart w:id="1" w:name="sdfootnote2anc"/>
      <w:r>
        <w:fldChar w:fldCharType="begin"/>
      </w:r>
      <w:r>
        <w:instrText xml:space="preserve"> HYPERLINK "https://www.garant.ru/news/1287901/" \l "sdfootnote2sym" </w:instrText>
      </w:r>
      <w:r>
        <w:fldChar w:fldCharType="separate"/>
      </w:r>
      <w:r>
        <w:rPr>
          <w:rStyle w:val="a3"/>
          <w:rFonts w:eastAsia="Times New Roman"/>
          <w:vertAlign w:val="superscript"/>
          <w:lang w:eastAsia="ru-RU"/>
        </w:rPr>
        <w:t>2</w:t>
      </w:r>
      <w:r>
        <w:fldChar w:fldCharType="end"/>
      </w:r>
      <w:bookmarkEnd w:id="1"/>
      <w:r>
        <w:rPr>
          <w:rFonts w:eastAsia="Times New Roman"/>
          <w:lang w:eastAsia="ru-RU"/>
        </w:rPr>
        <w:t>;</w:t>
      </w:r>
    </w:p>
    <w:p w:rsidR="00CC3CB3" w:rsidRDefault="00CC3CB3" w:rsidP="00CC3CB3">
      <w:pPr>
        <w:numPr>
          <w:ilvl w:val="0"/>
          <w:numId w:val="8"/>
        </w:numPr>
        <w:rPr>
          <w:rFonts w:eastAsia="Times New Roman"/>
          <w:lang w:eastAsia="ru-RU"/>
        </w:rPr>
      </w:pPr>
      <w:r>
        <w:rPr>
          <w:rFonts w:eastAsia="Times New Roman"/>
          <w:lang w:eastAsia="ru-RU"/>
        </w:rPr>
        <w:t>организациях связи</w:t>
      </w:r>
      <w:bookmarkStart w:id="2" w:name="sdfootnote3anc"/>
      <w:r>
        <w:fldChar w:fldCharType="begin"/>
      </w:r>
      <w:r>
        <w:instrText xml:space="preserve"> HYPERLINK "https://www.garant.ru/news/1287901/" \l "sdfootnote3sym" </w:instrText>
      </w:r>
      <w:r>
        <w:fldChar w:fldCharType="separate"/>
      </w:r>
      <w:r>
        <w:rPr>
          <w:rStyle w:val="a3"/>
          <w:rFonts w:eastAsia="Times New Roman"/>
          <w:vertAlign w:val="superscript"/>
          <w:lang w:eastAsia="ru-RU"/>
        </w:rPr>
        <w:t>3</w:t>
      </w:r>
      <w:r>
        <w:fldChar w:fldCharType="end"/>
      </w:r>
      <w:bookmarkEnd w:id="2"/>
      <w:r>
        <w:rPr>
          <w:rFonts w:eastAsia="Times New Roman"/>
          <w:lang w:eastAsia="ru-RU"/>
        </w:rPr>
        <w:t>;</w:t>
      </w:r>
    </w:p>
    <w:p w:rsidR="00CC3CB3" w:rsidRDefault="00CC3CB3" w:rsidP="00CC3CB3">
      <w:pPr>
        <w:numPr>
          <w:ilvl w:val="0"/>
          <w:numId w:val="8"/>
        </w:numPr>
        <w:rPr>
          <w:rFonts w:eastAsia="Times New Roman"/>
          <w:lang w:eastAsia="ru-RU"/>
        </w:rPr>
      </w:pPr>
      <w:r>
        <w:rPr>
          <w:rFonts w:eastAsia="Times New Roman"/>
          <w:lang w:eastAsia="ru-RU"/>
        </w:rPr>
        <w:t>метрополитене</w:t>
      </w:r>
      <w:bookmarkStart w:id="3" w:name="sdfootnote4anc"/>
      <w:r>
        <w:fldChar w:fldCharType="begin"/>
      </w:r>
      <w:r>
        <w:instrText xml:space="preserve"> HYPERLINK "https://www.garant.ru/news/1287901/" \l "sdfootnote4sym" </w:instrText>
      </w:r>
      <w:r>
        <w:fldChar w:fldCharType="separate"/>
      </w:r>
      <w:r>
        <w:rPr>
          <w:rStyle w:val="a3"/>
          <w:rFonts w:eastAsia="Times New Roman"/>
          <w:vertAlign w:val="superscript"/>
          <w:lang w:eastAsia="ru-RU"/>
        </w:rPr>
        <w:t>4</w:t>
      </w:r>
      <w:r>
        <w:fldChar w:fldCharType="end"/>
      </w:r>
      <w:bookmarkEnd w:id="3"/>
      <w:r>
        <w:rPr>
          <w:rFonts w:eastAsia="Times New Roman"/>
          <w:lang w:eastAsia="ru-RU"/>
        </w:rPr>
        <w:t>;</w:t>
      </w:r>
    </w:p>
    <w:p w:rsidR="00CC3CB3" w:rsidRDefault="00CC3CB3" w:rsidP="00CC3CB3">
      <w:pPr>
        <w:numPr>
          <w:ilvl w:val="0"/>
          <w:numId w:val="8"/>
        </w:numPr>
        <w:rPr>
          <w:rFonts w:eastAsia="Times New Roman"/>
          <w:lang w:eastAsia="ru-RU"/>
        </w:rPr>
      </w:pPr>
      <w:r>
        <w:rPr>
          <w:rFonts w:eastAsia="Times New Roman"/>
          <w:lang w:eastAsia="ru-RU"/>
        </w:rPr>
        <w:t>при возведении мостов</w:t>
      </w:r>
      <w:bookmarkStart w:id="4" w:name="sdfootnote5anc"/>
      <w:r>
        <w:fldChar w:fldCharType="begin"/>
      </w:r>
      <w:r>
        <w:instrText xml:space="preserve"> HYPERLINK "https://www.garant.ru/news/1287901/" \l "sdfootnote5sym" </w:instrText>
      </w:r>
      <w:r>
        <w:fldChar w:fldCharType="separate"/>
      </w:r>
      <w:r>
        <w:rPr>
          <w:rStyle w:val="a3"/>
          <w:rFonts w:eastAsia="Times New Roman"/>
          <w:vertAlign w:val="superscript"/>
          <w:lang w:eastAsia="ru-RU"/>
        </w:rPr>
        <w:t>5</w:t>
      </w:r>
      <w:r>
        <w:fldChar w:fldCharType="end"/>
      </w:r>
      <w:bookmarkEnd w:id="4"/>
      <w:r>
        <w:rPr>
          <w:rFonts w:eastAsia="Times New Roman"/>
          <w:lang w:eastAsia="ru-RU"/>
        </w:rPr>
        <w:t>;</w:t>
      </w:r>
    </w:p>
    <w:p w:rsidR="00CC3CB3" w:rsidRDefault="00CC3CB3" w:rsidP="00CC3CB3">
      <w:pPr>
        <w:numPr>
          <w:ilvl w:val="0"/>
          <w:numId w:val="8"/>
        </w:numPr>
        <w:rPr>
          <w:rFonts w:eastAsia="Times New Roman"/>
          <w:lang w:eastAsia="ru-RU"/>
        </w:rPr>
      </w:pPr>
      <w:r>
        <w:rPr>
          <w:rFonts w:eastAsia="Times New Roman"/>
          <w:lang w:eastAsia="ru-RU"/>
        </w:rPr>
        <w:t>при производстве оружия и боеприпасов</w:t>
      </w:r>
      <w:bookmarkStart w:id="5" w:name="sdfootnote6anc"/>
      <w:r>
        <w:fldChar w:fldCharType="begin"/>
      </w:r>
      <w:r>
        <w:instrText xml:space="preserve"> HYPERLINK "https://www.garant.ru/news/1287901/" \l "sdfootnote6sym" </w:instrText>
      </w:r>
      <w:r>
        <w:fldChar w:fldCharType="separate"/>
      </w:r>
      <w:r>
        <w:rPr>
          <w:rStyle w:val="a3"/>
          <w:rFonts w:eastAsia="Times New Roman"/>
          <w:vertAlign w:val="superscript"/>
          <w:lang w:eastAsia="ru-RU"/>
        </w:rPr>
        <w:t>6</w:t>
      </w:r>
      <w:r>
        <w:fldChar w:fldCharType="end"/>
      </w:r>
      <w:bookmarkEnd w:id="5"/>
      <w:r>
        <w:rPr>
          <w:rFonts w:eastAsia="Times New Roman"/>
          <w:lang w:eastAsia="ru-RU"/>
        </w:rPr>
        <w:t>;</w:t>
      </w:r>
    </w:p>
    <w:p w:rsidR="00CC3CB3" w:rsidRDefault="00CC3CB3" w:rsidP="00CC3CB3">
      <w:pPr>
        <w:numPr>
          <w:ilvl w:val="0"/>
          <w:numId w:val="8"/>
        </w:numPr>
        <w:rPr>
          <w:rFonts w:eastAsia="Times New Roman"/>
          <w:lang w:eastAsia="ru-RU"/>
        </w:rPr>
      </w:pPr>
      <w:r>
        <w:rPr>
          <w:rFonts w:eastAsia="Times New Roman"/>
          <w:lang w:eastAsia="ru-RU"/>
        </w:rPr>
        <w:t>целлюлозно-бумажной и лесохимической промышленности</w:t>
      </w:r>
      <w:bookmarkStart w:id="6" w:name="sdfootnote7anc"/>
      <w:r>
        <w:fldChar w:fldCharType="begin"/>
      </w:r>
      <w:r>
        <w:instrText xml:space="preserve"> HYPERLINK "https://www.garant.ru/news/1287901/" \l "sdfootnote7sym" </w:instrText>
      </w:r>
      <w:r>
        <w:fldChar w:fldCharType="separate"/>
      </w:r>
      <w:r>
        <w:rPr>
          <w:rStyle w:val="a3"/>
          <w:rFonts w:eastAsia="Times New Roman"/>
          <w:vertAlign w:val="superscript"/>
          <w:lang w:eastAsia="ru-RU"/>
        </w:rPr>
        <w:t>7</w:t>
      </w:r>
      <w:r>
        <w:fldChar w:fldCharType="end"/>
      </w:r>
      <w:bookmarkEnd w:id="6"/>
      <w:r>
        <w:rPr>
          <w:rFonts w:eastAsia="Times New Roman"/>
          <w:lang w:eastAsia="ru-RU"/>
        </w:rPr>
        <w:t>.</w:t>
      </w:r>
    </w:p>
    <w:p w:rsidR="00CC3CB3" w:rsidRDefault="00CC3CB3" w:rsidP="00CC3CB3">
      <w:pPr>
        <w:rPr>
          <w:lang w:eastAsia="ru-RU"/>
        </w:rPr>
      </w:pPr>
      <w:r>
        <w:rPr>
          <w:lang w:eastAsia="ru-RU"/>
        </w:rPr>
        <w:t>Разработчики инициатив отмечают, что работы в указанных организациях связаны с высоким риском получения производственных травм и профессиональных заболеваний. В связи с этим положения действующих в настоящее время</w:t>
      </w:r>
      <w:hyperlink r:id="rId63" w:anchor="/document/992739/paragraph/32:38" w:history="1">
        <w:r>
          <w:rPr>
            <w:rStyle w:val="a3"/>
            <w:lang w:eastAsia="ru-RU"/>
          </w:rPr>
          <w:t> правил по охране труда</w:t>
        </w:r>
      </w:hyperlink>
      <w:r>
        <w:rPr>
          <w:lang w:eastAsia="ru-RU"/>
        </w:rPr>
        <w:t> в этих организациях и учреждениях, а также при осуществлении определенных работ требуют пересмотра с учетом риск-ориентированного подхода и современного уровня технологического развития.</w:t>
      </w:r>
    </w:p>
    <w:p w:rsidR="00CC3CB3" w:rsidRDefault="00CC3CB3" w:rsidP="00CC3CB3">
      <w:pPr>
        <w:rPr>
          <w:lang w:eastAsia="ru-RU"/>
        </w:rPr>
      </w:pPr>
      <w:r>
        <w:rPr>
          <w:lang w:eastAsia="ru-RU"/>
        </w:rPr>
        <w:lastRenderedPageBreak/>
        <w:t>Напомним, обеспечение безопасности и условий труда, соответствующих государственным нормативным требованиям охраны труда, является одной из обязанностей работодателя, а соблюдение требований по охране труда и обеспечению безопасности труда – обязанностью работника (</w:t>
      </w:r>
      <w:hyperlink r:id="rId64" w:anchor="block_21" w:history="1">
        <w:r>
          <w:rPr>
            <w:rStyle w:val="a3"/>
            <w:lang w:eastAsia="ru-RU"/>
          </w:rPr>
          <w:t>ст. 21-22 Трудового кодекса</w:t>
        </w:r>
      </w:hyperlink>
      <w:r>
        <w:rPr>
          <w:lang w:eastAsia="ru-RU"/>
        </w:rPr>
        <w:t>). Согласно </w:t>
      </w:r>
      <w:hyperlink r:id="rId65" w:anchor="block_211" w:history="1">
        <w:r>
          <w:rPr>
            <w:rStyle w:val="a3"/>
            <w:lang w:eastAsia="ru-RU"/>
          </w:rPr>
          <w:t>ст. 211 ТК РФ</w:t>
        </w:r>
      </w:hyperlink>
      <w:r>
        <w:rPr>
          <w:lang w:eastAsia="ru-RU"/>
        </w:rPr>
        <w:t> государственные нормативные требования охраны труда устанавливают правила, процедуры, критерии и нормативы, направленные на сохранение жизни и здоровья работников в процессе трудовой деятельности. Эти требования обязательны для исполнения юридическими и физическими лицами при осуществлении ими любых видов деятельности.</w:t>
      </w:r>
    </w:p>
    <w:p w:rsidR="00CC3CB3" w:rsidRDefault="00CC3CB3" w:rsidP="00CC3CB3">
      <w:pPr>
        <w:rPr>
          <w:lang w:eastAsia="ru-RU"/>
        </w:rPr>
      </w:pPr>
      <w:r>
        <w:rPr>
          <w:lang w:eastAsia="ru-RU"/>
        </w:rPr>
        <w:t>Предполагается, что обновленные нормы затронут работодателей – юридических и физических лиц независимо от их организационно-правовых форм и форм собственности. Новые требования планируется ввести в действие с 2021 года.</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Уточнено, все ли детские пособия должны выплачиваться на карту "МИР"</w:t>
      </w:r>
    </w:p>
    <w:p w:rsidR="00CC3CB3" w:rsidRDefault="00CC3CB3" w:rsidP="00CC3CB3">
      <w:pPr>
        <w:rPr>
          <w:lang w:eastAsia="ru-RU"/>
        </w:rPr>
      </w:pPr>
      <w:r>
        <w:rPr>
          <w:lang w:eastAsia="ru-RU"/>
        </w:rPr>
        <w:t>15 августа 2019</w:t>
      </w:r>
    </w:p>
    <w:p w:rsidR="00CC3CB3" w:rsidRDefault="00CC3CB3" w:rsidP="00CC3CB3">
      <w:pPr>
        <w:rPr>
          <w:lang w:eastAsia="ru-RU"/>
        </w:rPr>
      </w:pPr>
      <w:r>
        <w:rPr>
          <w:lang w:eastAsia="ru-RU"/>
        </w:rPr>
        <w:t>ФСС России разъяснил, что пособия, назначенные начиная с 1 мая 2019 года, выплачиваются (в том числе работодателями):</w:t>
      </w:r>
    </w:p>
    <w:p w:rsidR="00CC3CB3" w:rsidRDefault="00CC3CB3" w:rsidP="00CC3CB3">
      <w:pPr>
        <w:numPr>
          <w:ilvl w:val="0"/>
          <w:numId w:val="9"/>
        </w:numPr>
        <w:rPr>
          <w:rFonts w:eastAsia="Times New Roman"/>
          <w:lang w:eastAsia="ru-RU"/>
        </w:rPr>
      </w:pPr>
      <w:r>
        <w:rPr>
          <w:rFonts w:eastAsia="Times New Roman"/>
          <w:lang w:eastAsia="ru-RU"/>
        </w:rPr>
        <w:t>на карту "МИР";</w:t>
      </w:r>
    </w:p>
    <w:p w:rsidR="00CC3CB3" w:rsidRDefault="00CC3CB3" w:rsidP="00CC3CB3">
      <w:pPr>
        <w:numPr>
          <w:ilvl w:val="0"/>
          <w:numId w:val="9"/>
        </w:numPr>
        <w:rPr>
          <w:rFonts w:eastAsia="Times New Roman"/>
          <w:lang w:eastAsia="ru-RU"/>
        </w:rPr>
      </w:pPr>
      <w:r>
        <w:rPr>
          <w:rFonts w:eastAsia="Times New Roman"/>
          <w:lang w:eastAsia="ru-RU"/>
        </w:rPr>
        <w:t>на счет, к которому не привязана банковская карта;</w:t>
      </w:r>
    </w:p>
    <w:p w:rsidR="00CC3CB3" w:rsidRDefault="00CC3CB3" w:rsidP="00CC3CB3">
      <w:pPr>
        <w:numPr>
          <w:ilvl w:val="0"/>
          <w:numId w:val="9"/>
        </w:numPr>
        <w:rPr>
          <w:rFonts w:eastAsia="Times New Roman"/>
          <w:lang w:eastAsia="ru-RU"/>
        </w:rPr>
      </w:pPr>
      <w:r>
        <w:rPr>
          <w:rFonts w:eastAsia="Times New Roman"/>
          <w:lang w:eastAsia="ru-RU"/>
        </w:rPr>
        <w:t>наличными (в том числе почтовым переводом) (</w:t>
      </w:r>
      <w:hyperlink r:id="rId66" w:history="1">
        <w:r>
          <w:rPr>
            <w:rStyle w:val="a3"/>
            <w:rFonts w:eastAsia="Times New Roman"/>
            <w:lang w:eastAsia="ru-RU"/>
          </w:rPr>
          <w:t>письмо ФСС России от 5 июля 2019 г. № 02-08-01/16-05-6557л</w:t>
        </w:r>
      </w:hyperlink>
      <w:r>
        <w:rPr>
          <w:rFonts w:eastAsia="Times New Roman"/>
          <w:lang w:eastAsia="ru-RU"/>
        </w:rPr>
        <w:t>).</w:t>
      </w:r>
    </w:p>
    <w:p w:rsidR="00CC3CB3" w:rsidRDefault="00CC3CB3" w:rsidP="00CC3CB3">
      <w:pPr>
        <w:rPr>
          <w:lang w:eastAsia="ru-RU"/>
        </w:rPr>
      </w:pPr>
      <w:r>
        <w:rPr>
          <w:lang w:eastAsia="ru-RU"/>
        </w:rPr>
        <w:t>Это относится к пособию по беременности и родам, единовременному пособию женщинам, вставшим на учет в медицинских организациях в ранние сроки беременности, единовременному пособию при рождении ребенка, ежемесячному пособию по уходу за ребенком.</w:t>
      </w:r>
    </w:p>
    <w:p w:rsidR="00CC3CB3" w:rsidRDefault="00CC3CB3" w:rsidP="00CC3CB3">
      <w:pPr>
        <w:rPr>
          <w:lang w:eastAsia="ru-RU"/>
        </w:rPr>
      </w:pPr>
      <w:r>
        <w:rPr>
          <w:lang w:eastAsia="ru-RU"/>
        </w:rPr>
        <w:t>Пособия, которые назначены до 1 мая текущего года, можно перечислять на карты других платежных систем, пока не истечет срок их действия, но не позднее июля 2020 года.</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Утвержден перечень работ, на которых ограничивается применение труда женщин</w:t>
      </w:r>
    </w:p>
    <w:p w:rsidR="00CC3CB3" w:rsidRDefault="00CC3CB3" w:rsidP="00CC3CB3">
      <w:pPr>
        <w:rPr>
          <w:lang w:eastAsia="ru-RU"/>
        </w:rPr>
      </w:pPr>
      <w:r>
        <w:rPr>
          <w:lang w:eastAsia="ru-RU"/>
        </w:rPr>
        <w:t>15 августа 2019</w:t>
      </w:r>
    </w:p>
    <w:p w:rsidR="00CC3CB3" w:rsidRDefault="00CC3CB3" w:rsidP="00CC3CB3">
      <w:pPr>
        <w:rPr>
          <w:lang w:eastAsia="ru-RU"/>
        </w:rPr>
      </w:pPr>
      <w:r>
        <w:rPr>
          <w:lang w:eastAsia="ru-RU"/>
        </w:rPr>
        <w:t>Сегодня официально опубликован приказ Минтруда России от 18 июля 2019 г. № 512н "</w:t>
      </w:r>
      <w:hyperlink r:id="rId67" w:history="1">
        <w:r>
          <w:rPr>
            <w:rStyle w:val="a3"/>
            <w:lang w:eastAsia="ru-RU"/>
          </w:rPr>
          <w:t>Об утверждении перечня производств, работ и должностей с вредными и (или) опасными условиями труда, на которых ограничивается применение труда женщин</w:t>
        </w:r>
      </w:hyperlink>
      <w:r>
        <w:rPr>
          <w:lang w:eastAsia="ru-RU"/>
        </w:rPr>
        <w:t>". Документ направлен на реализацию положений </w:t>
      </w:r>
      <w:hyperlink r:id="rId68" w:anchor="block_253" w:history="1">
        <w:r>
          <w:rPr>
            <w:rStyle w:val="a3"/>
            <w:lang w:eastAsia="ru-RU"/>
          </w:rPr>
          <w:t>ст. 253 Трудового кодекса</w:t>
        </w:r>
      </w:hyperlink>
      <w:r>
        <w:rPr>
          <w:lang w:eastAsia="ru-RU"/>
        </w:rPr>
        <w:t>, предусматривающих ограничение на применение труда женщин на работах с вредными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CC3CB3" w:rsidRDefault="00CC3CB3" w:rsidP="00CC3CB3">
      <w:pPr>
        <w:rPr>
          <w:lang w:eastAsia="ru-RU"/>
        </w:rPr>
      </w:pPr>
      <w:r>
        <w:rPr>
          <w:lang w:eastAsia="ru-RU"/>
        </w:rPr>
        <w:t>Так, в числе производств и работ с вредными или опасными условиями труда, на которых ограничивается применение труда женщин, указаны:</w:t>
      </w:r>
    </w:p>
    <w:p w:rsidR="00CC3CB3" w:rsidRDefault="00CC3CB3" w:rsidP="00CC3CB3">
      <w:pPr>
        <w:numPr>
          <w:ilvl w:val="0"/>
          <w:numId w:val="10"/>
        </w:numPr>
        <w:rPr>
          <w:rFonts w:eastAsia="Times New Roman"/>
          <w:lang w:eastAsia="ru-RU"/>
        </w:rPr>
      </w:pPr>
      <w:r>
        <w:rPr>
          <w:rFonts w:eastAsia="Times New Roman"/>
          <w:lang w:eastAsia="ru-RU"/>
        </w:rPr>
        <w:t>химические производства;</w:t>
      </w:r>
    </w:p>
    <w:p w:rsidR="00CC3CB3" w:rsidRDefault="00CC3CB3" w:rsidP="00CC3CB3">
      <w:pPr>
        <w:numPr>
          <w:ilvl w:val="0"/>
          <w:numId w:val="10"/>
        </w:numPr>
        <w:rPr>
          <w:rFonts w:eastAsia="Times New Roman"/>
          <w:lang w:eastAsia="ru-RU"/>
        </w:rPr>
      </w:pPr>
      <w:r>
        <w:rPr>
          <w:rFonts w:eastAsia="Times New Roman"/>
          <w:lang w:eastAsia="ru-RU"/>
        </w:rPr>
        <w:t>подземные работы;</w:t>
      </w:r>
    </w:p>
    <w:p w:rsidR="00CC3CB3" w:rsidRDefault="00CC3CB3" w:rsidP="00CC3CB3">
      <w:pPr>
        <w:numPr>
          <w:ilvl w:val="0"/>
          <w:numId w:val="10"/>
        </w:numPr>
        <w:rPr>
          <w:rFonts w:eastAsia="Times New Roman"/>
          <w:lang w:eastAsia="ru-RU"/>
        </w:rPr>
      </w:pPr>
      <w:r>
        <w:rPr>
          <w:rFonts w:eastAsia="Times New Roman"/>
          <w:lang w:eastAsia="ru-RU"/>
        </w:rPr>
        <w:t>горные работы;</w:t>
      </w:r>
    </w:p>
    <w:p w:rsidR="00CC3CB3" w:rsidRDefault="00CC3CB3" w:rsidP="00CC3CB3">
      <w:pPr>
        <w:numPr>
          <w:ilvl w:val="0"/>
          <w:numId w:val="10"/>
        </w:numPr>
        <w:rPr>
          <w:rFonts w:eastAsia="Times New Roman"/>
          <w:lang w:eastAsia="ru-RU"/>
        </w:rPr>
      </w:pPr>
      <w:r>
        <w:rPr>
          <w:rFonts w:eastAsia="Times New Roman"/>
          <w:lang w:eastAsia="ru-RU"/>
        </w:rPr>
        <w:t>металообработка;</w:t>
      </w:r>
    </w:p>
    <w:p w:rsidR="00CC3CB3" w:rsidRDefault="00CC3CB3" w:rsidP="00CC3CB3">
      <w:pPr>
        <w:numPr>
          <w:ilvl w:val="0"/>
          <w:numId w:val="10"/>
        </w:numPr>
        <w:rPr>
          <w:rFonts w:eastAsia="Times New Roman"/>
          <w:lang w:eastAsia="ru-RU"/>
        </w:rPr>
      </w:pPr>
      <w:r>
        <w:rPr>
          <w:rFonts w:eastAsia="Times New Roman"/>
          <w:lang w:eastAsia="ru-RU"/>
        </w:rPr>
        <w:t>бурение скважин;</w:t>
      </w:r>
    </w:p>
    <w:p w:rsidR="00CC3CB3" w:rsidRDefault="00CC3CB3" w:rsidP="00CC3CB3">
      <w:pPr>
        <w:numPr>
          <w:ilvl w:val="0"/>
          <w:numId w:val="10"/>
        </w:numPr>
        <w:rPr>
          <w:rFonts w:eastAsia="Times New Roman"/>
          <w:lang w:eastAsia="ru-RU"/>
        </w:rPr>
      </w:pPr>
      <w:r>
        <w:rPr>
          <w:rFonts w:eastAsia="Times New Roman"/>
          <w:lang w:eastAsia="ru-RU"/>
        </w:rPr>
        <w:t>добыча нефти и газа;</w:t>
      </w:r>
    </w:p>
    <w:p w:rsidR="00CC3CB3" w:rsidRDefault="00CC3CB3" w:rsidP="00CC3CB3">
      <w:pPr>
        <w:numPr>
          <w:ilvl w:val="0"/>
          <w:numId w:val="10"/>
        </w:numPr>
        <w:rPr>
          <w:rFonts w:eastAsia="Times New Roman"/>
          <w:lang w:eastAsia="ru-RU"/>
        </w:rPr>
      </w:pPr>
      <w:r>
        <w:rPr>
          <w:rFonts w:eastAsia="Times New Roman"/>
          <w:lang w:eastAsia="ru-RU"/>
        </w:rPr>
        <w:t>черная металлургия;</w:t>
      </w:r>
    </w:p>
    <w:p w:rsidR="00CC3CB3" w:rsidRDefault="00CC3CB3" w:rsidP="00CC3CB3">
      <w:pPr>
        <w:numPr>
          <w:ilvl w:val="0"/>
          <w:numId w:val="10"/>
        </w:numPr>
        <w:rPr>
          <w:rFonts w:eastAsia="Times New Roman"/>
          <w:lang w:eastAsia="ru-RU"/>
        </w:rPr>
      </w:pPr>
      <w:r>
        <w:rPr>
          <w:rFonts w:eastAsia="Times New Roman"/>
          <w:lang w:eastAsia="ru-RU"/>
        </w:rPr>
        <w:t>цветная металлургия;</w:t>
      </w:r>
    </w:p>
    <w:p w:rsidR="00CC3CB3" w:rsidRDefault="00CC3CB3" w:rsidP="00CC3CB3">
      <w:pPr>
        <w:numPr>
          <w:ilvl w:val="0"/>
          <w:numId w:val="10"/>
        </w:numPr>
        <w:rPr>
          <w:rFonts w:eastAsia="Times New Roman"/>
          <w:lang w:eastAsia="ru-RU"/>
        </w:rPr>
      </w:pPr>
      <w:r>
        <w:rPr>
          <w:rFonts w:eastAsia="Times New Roman"/>
          <w:lang w:eastAsia="ru-RU"/>
        </w:rPr>
        <w:t>радиотехническое и электронное производства;</w:t>
      </w:r>
    </w:p>
    <w:p w:rsidR="00CC3CB3" w:rsidRDefault="00CC3CB3" w:rsidP="00CC3CB3">
      <w:pPr>
        <w:numPr>
          <w:ilvl w:val="0"/>
          <w:numId w:val="10"/>
        </w:numPr>
        <w:rPr>
          <w:rFonts w:eastAsia="Times New Roman"/>
          <w:lang w:eastAsia="ru-RU"/>
        </w:rPr>
      </w:pPr>
      <w:r>
        <w:rPr>
          <w:rFonts w:eastAsia="Times New Roman"/>
          <w:lang w:eastAsia="ru-RU"/>
        </w:rPr>
        <w:t>производство, ремонт и обслуживание летательных аппаратов;</w:t>
      </w:r>
    </w:p>
    <w:p w:rsidR="00CC3CB3" w:rsidRDefault="00CC3CB3" w:rsidP="00CC3CB3">
      <w:pPr>
        <w:numPr>
          <w:ilvl w:val="0"/>
          <w:numId w:val="10"/>
        </w:numPr>
        <w:rPr>
          <w:rFonts w:eastAsia="Times New Roman"/>
          <w:lang w:eastAsia="ru-RU"/>
        </w:rPr>
      </w:pPr>
      <w:r>
        <w:rPr>
          <w:rFonts w:eastAsia="Times New Roman"/>
          <w:lang w:eastAsia="ru-RU"/>
        </w:rPr>
        <w:t>судостроение и судоремонт;</w:t>
      </w:r>
    </w:p>
    <w:p w:rsidR="00CC3CB3" w:rsidRDefault="00CC3CB3" w:rsidP="00CC3CB3">
      <w:pPr>
        <w:numPr>
          <w:ilvl w:val="0"/>
          <w:numId w:val="10"/>
        </w:numPr>
        <w:rPr>
          <w:rFonts w:eastAsia="Times New Roman"/>
          <w:lang w:eastAsia="ru-RU"/>
        </w:rPr>
      </w:pPr>
      <w:r>
        <w:rPr>
          <w:rFonts w:eastAsia="Times New Roman"/>
          <w:lang w:eastAsia="ru-RU"/>
        </w:rPr>
        <w:t>производство целлюлозы, бумаги, картона и изделий из них;</w:t>
      </w:r>
    </w:p>
    <w:p w:rsidR="00CC3CB3" w:rsidRDefault="00CC3CB3" w:rsidP="00CC3CB3">
      <w:pPr>
        <w:numPr>
          <w:ilvl w:val="0"/>
          <w:numId w:val="10"/>
        </w:numPr>
        <w:rPr>
          <w:rFonts w:eastAsia="Times New Roman"/>
          <w:lang w:eastAsia="ru-RU"/>
        </w:rPr>
      </w:pPr>
      <w:r>
        <w:rPr>
          <w:rFonts w:eastAsia="Times New Roman"/>
          <w:lang w:eastAsia="ru-RU"/>
        </w:rPr>
        <w:t>производство цемента;</w:t>
      </w:r>
    </w:p>
    <w:p w:rsidR="00CC3CB3" w:rsidRDefault="00CC3CB3" w:rsidP="00CC3CB3">
      <w:pPr>
        <w:numPr>
          <w:ilvl w:val="0"/>
          <w:numId w:val="10"/>
        </w:numPr>
        <w:rPr>
          <w:rFonts w:eastAsia="Times New Roman"/>
          <w:lang w:eastAsia="ru-RU"/>
        </w:rPr>
      </w:pPr>
      <w:r>
        <w:rPr>
          <w:rFonts w:eastAsia="Times New Roman"/>
          <w:lang w:eastAsia="ru-RU"/>
        </w:rPr>
        <w:t>обработка камня и производство камнелитейных изделий;</w:t>
      </w:r>
    </w:p>
    <w:p w:rsidR="00CC3CB3" w:rsidRDefault="00CC3CB3" w:rsidP="00CC3CB3">
      <w:pPr>
        <w:numPr>
          <w:ilvl w:val="0"/>
          <w:numId w:val="10"/>
        </w:numPr>
        <w:rPr>
          <w:rFonts w:eastAsia="Times New Roman"/>
          <w:lang w:eastAsia="ru-RU"/>
        </w:rPr>
      </w:pPr>
      <w:r>
        <w:rPr>
          <w:rFonts w:eastAsia="Times New Roman"/>
          <w:lang w:eastAsia="ru-RU"/>
        </w:rPr>
        <w:t>производство железобетонных и бетонных изделий и конструкций;</w:t>
      </w:r>
    </w:p>
    <w:p w:rsidR="00CC3CB3" w:rsidRDefault="00CC3CB3" w:rsidP="00CC3CB3">
      <w:pPr>
        <w:numPr>
          <w:ilvl w:val="0"/>
          <w:numId w:val="10"/>
        </w:numPr>
        <w:rPr>
          <w:rFonts w:eastAsia="Times New Roman"/>
          <w:lang w:eastAsia="ru-RU"/>
        </w:rPr>
      </w:pPr>
      <w:r>
        <w:rPr>
          <w:rFonts w:eastAsia="Times New Roman"/>
          <w:lang w:eastAsia="ru-RU"/>
        </w:rPr>
        <w:lastRenderedPageBreak/>
        <w:t>производство теплоизоляционных материалов;</w:t>
      </w:r>
    </w:p>
    <w:p w:rsidR="00CC3CB3" w:rsidRDefault="00CC3CB3" w:rsidP="00CC3CB3">
      <w:pPr>
        <w:numPr>
          <w:ilvl w:val="0"/>
          <w:numId w:val="10"/>
        </w:numPr>
        <w:rPr>
          <w:rFonts w:eastAsia="Times New Roman"/>
          <w:lang w:eastAsia="ru-RU"/>
        </w:rPr>
      </w:pPr>
      <w:r>
        <w:rPr>
          <w:rFonts w:eastAsia="Times New Roman"/>
          <w:lang w:eastAsia="ru-RU"/>
        </w:rPr>
        <w:t>полиграфическое производство;</w:t>
      </w:r>
    </w:p>
    <w:p w:rsidR="00CC3CB3" w:rsidRDefault="00CC3CB3" w:rsidP="00CC3CB3">
      <w:pPr>
        <w:numPr>
          <w:ilvl w:val="0"/>
          <w:numId w:val="10"/>
        </w:numPr>
        <w:rPr>
          <w:rFonts w:eastAsia="Times New Roman"/>
          <w:lang w:eastAsia="ru-RU"/>
        </w:rPr>
      </w:pPr>
      <w:r>
        <w:rPr>
          <w:rFonts w:eastAsia="Times New Roman"/>
          <w:lang w:eastAsia="ru-RU"/>
        </w:rPr>
        <w:t>текстильная и легкая промышленность;</w:t>
      </w:r>
    </w:p>
    <w:p w:rsidR="00CC3CB3" w:rsidRDefault="00CC3CB3" w:rsidP="00CC3CB3">
      <w:pPr>
        <w:numPr>
          <w:ilvl w:val="0"/>
          <w:numId w:val="10"/>
        </w:numPr>
        <w:rPr>
          <w:rFonts w:eastAsia="Times New Roman"/>
          <w:lang w:eastAsia="ru-RU"/>
        </w:rPr>
      </w:pPr>
      <w:r>
        <w:rPr>
          <w:rFonts w:eastAsia="Times New Roman"/>
          <w:lang w:eastAsia="ru-RU"/>
        </w:rPr>
        <w:t>пищевая промышленность;</w:t>
      </w:r>
    </w:p>
    <w:p w:rsidR="00CC3CB3" w:rsidRDefault="00CC3CB3" w:rsidP="00CC3CB3">
      <w:pPr>
        <w:numPr>
          <w:ilvl w:val="0"/>
          <w:numId w:val="10"/>
        </w:numPr>
        <w:rPr>
          <w:rFonts w:eastAsia="Times New Roman"/>
          <w:lang w:eastAsia="ru-RU"/>
        </w:rPr>
      </w:pPr>
      <w:r>
        <w:rPr>
          <w:rFonts w:eastAsia="Times New Roman"/>
          <w:lang w:eastAsia="ru-RU"/>
        </w:rPr>
        <w:t>железнодорожный транспорт;</w:t>
      </w:r>
    </w:p>
    <w:p w:rsidR="00CC3CB3" w:rsidRDefault="00CC3CB3" w:rsidP="00CC3CB3">
      <w:pPr>
        <w:numPr>
          <w:ilvl w:val="0"/>
          <w:numId w:val="10"/>
        </w:numPr>
        <w:rPr>
          <w:rFonts w:eastAsia="Times New Roman"/>
          <w:lang w:eastAsia="ru-RU"/>
        </w:rPr>
      </w:pPr>
      <w:r>
        <w:rPr>
          <w:rFonts w:eastAsia="Times New Roman"/>
          <w:lang w:eastAsia="ru-RU"/>
        </w:rPr>
        <w:t>производства и работы прочих видов экономической деятельности.</w:t>
      </w:r>
    </w:p>
    <w:p w:rsidR="00CC3CB3" w:rsidRDefault="00CC3CB3" w:rsidP="00CC3CB3">
      <w:pPr>
        <w:rPr>
          <w:lang w:eastAsia="ru-RU"/>
        </w:rPr>
      </w:pPr>
      <w:r>
        <w:rPr>
          <w:lang w:eastAsia="ru-RU"/>
        </w:rPr>
        <w:t>При этом конкретизированы работы в каждой из указанных сфер с оговорками на конкретные должности, которых не касаются ограничения на применение труда женщин. Например, в ряде случаев исключения сделаны для руководителей и специалистов, не выполняющих физической работы, для стажеров, медперсонала и работников бытового обслуживания.</w:t>
      </w:r>
    </w:p>
    <w:p w:rsidR="00CC3CB3" w:rsidRDefault="00CC3CB3" w:rsidP="00CC3CB3">
      <w:pPr>
        <w:rPr>
          <w:lang w:eastAsia="ru-RU"/>
        </w:rPr>
      </w:pPr>
      <w:r>
        <w:rPr>
          <w:lang w:eastAsia="ru-RU"/>
        </w:rPr>
        <w:t>Приказ Минтруда России</w:t>
      </w:r>
      <w:r>
        <w:rPr>
          <w:vertAlign w:val="superscript"/>
          <w:lang w:eastAsia="ru-RU"/>
        </w:rPr>
        <w:t> </w:t>
      </w:r>
      <w:r>
        <w:rPr>
          <w:lang w:eastAsia="ru-RU"/>
        </w:rPr>
        <w:t>имеет отлагательный срок вступления в силу – он начнет действовать с 1 января 2021 года.</w:t>
      </w:r>
    </w:p>
    <w:p w:rsidR="00CC3CB3" w:rsidRDefault="00CC3CB3" w:rsidP="00CC3CB3">
      <w:pPr>
        <w:rPr>
          <w:lang w:eastAsia="ru-RU"/>
        </w:rPr>
      </w:pPr>
      <w:r>
        <w:rPr>
          <w:lang w:eastAsia="ru-RU"/>
        </w:rPr>
        <w:t>Отметим, пока при трудоустройстве женщин на тяжелые работы и работы с вредными или опасными условиями труда следует учитывать положения, установленные </w:t>
      </w:r>
      <w:hyperlink r:id="rId69" w:history="1">
        <w:r>
          <w:rPr>
            <w:rStyle w:val="a3"/>
            <w:lang w:eastAsia="ru-RU"/>
          </w:rPr>
          <w:t>постановлением Правительства РФ от 25 февраля 2000 г. № 162</w:t>
        </w:r>
      </w:hyperlink>
      <w:r>
        <w:rPr>
          <w:lang w:eastAsia="ru-RU"/>
        </w:rPr>
        <w:t> – в нем перечисляются работы, при выполнении которых запрещается применение труда женщин. В свою очередь, </w:t>
      </w:r>
      <w:hyperlink r:id="rId70" w:history="1">
        <w:r>
          <w:rPr>
            <w:rStyle w:val="a3"/>
            <w:lang w:eastAsia="ru-RU"/>
          </w:rPr>
          <w:t>постановлением Совета Министров – Правительства РФ от 6 февраля 1993 г. № 105</w:t>
        </w:r>
      </w:hyperlink>
      <w:r>
        <w:rPr>
          <w:lang w:eastAsia="ru-RU"/>
        </w:rPr>
        <w:t> определены </w:t>
      </w:r>
      <w:hyperlink r:id="rId71" w:history="1">
        <w:r>
          <w:rPr>
            <w:rStyle w:val="a3"/>
            <w:lang w:eastAsia="ru-RU"/>
          </w:rPr>
          <w:t>Нормы предельно допустимых нагрузок для женщин при подъеме и перемещении тяжестей вручную</w:t>
        </w:r>
      </w:hyperlink>
      <w:r>
        <w:rPr>
          <w:lang w:eastAsia="ru-RU"/>
        </w:rPr>
        <w:t>.</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Увеличен годовой объем закупок, которые заказчики по Закону № 223-ФЗ обязаны осуществить у субъектов МСП</w:t>
      </w:r>
    </w:p>
    <w:p w:rsidR="00CC3CB3" w:rsidRDefault="00CC3CB3" w:rsidP="00CC3CB3">
      <w:pPr>
        <w:rPr>
          <w:lang w:eastAsia="ru-RU"/>
        </w:rPr>
      </w:pPr>
      <w:r>
        <w:rPr>
          <w:lang w:eastAsia="ru-RU"/>
        </w:rPr>
        <w:t>15 августа 2019</w:t>
      </w:r>
    </w:p>
    <w:p w:rsidR="00CC3CB3" w:rsidRDefault="00CC3CB3" w:rsidP="00CC3CB3">
      <w:pPr>
        <w:rPr>
          <w:lang w:eastAsia="ru-RU"/>
        </w:rPr>
      </w:pPr>
      <w:r>
        <w:rPr>
          <w:lang w:eastAsia="ru-RU"/>
        </w:rPr>
        <w:t>Узнайте последние изменения Закона № 44-ФЗ и Закона № 223-ФЗ, пройдя обучение по </w:t>
      </w:r>
      <w:hyperlink r:id="rId72" w:history="1">
        <w:r>
          <w:rPr>
            <w:rStyle w:val="a3"/>
            <w:b/>
            <w:bCs/>
            <w:lang w:eastAsia="ru-RU"/>
          </w:rPr>
          <w:t>долгосрочной программе профессиональной переподготовки</w:t>
        </w:r>
      </w:hyperlink>
      <w:r>
        <w:rPr>
          <w:lang w:eastAsia="ru-RU"/>
        </w:rPr>
        <w:t>, и получите диплом установленного образца</w:t>
      </w:r>
    </w:p>
    <w:p w:rsidR="00CC3CB3" w:rsidRDefault="00CC3CB3" w:rsidP="00CC3CB3">
      <w:pPr>
        <w:rPr>
          <w:lang w:eastAsia="ru-RU"/>
        </w:rPr>
      </w:pPr>
      <w:r>
        <w:rPr>
          <w:lang w:eastAsia="ru-RU"/>
        </w:rPr>
        <w:t>В соответствии с изменениями, внесенными в </w:t>
      </w:r>
      <w:hyperlink r:id="rId73" w:anchor="p_20" w:history="1">
        <w:r>
          <w:rPr>
            <w:rStyle w:val="a3"/>
            <w:lang w:eastAsia="ru-RU"/>
          </w:rPr>
          <w:t>п. 5-5.1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w:t>
        </w:r>
      </w:hyperlink>
      <w:r>
        <w:rPr>
          <w:lang w:eastAsia="ru-RU"/>
        </w:rPr>
        <w:t> (далее – Положение), с 1 января 2020 года указанный годовой объем закупок увеличен с 18% до 20% совокупного годового стоимостного объема договоров, заключенных заказчиками по результатам закупок. При этом годовой стоимостной объем договоров, заключенных заказчиками с субъектами МСП по результатам закупок, осуществляемых в соответствии с </w:t>
      </w:r>
      <w:hyperlink r:id="rId74" w:anchor="p_18" w:history="1">
        <w:r>
          <w:rPr>
            <w:rStyle w:val="a3"/>
            <w:lang w:eastAsia="ru-RU"/>
          </w:rPr>
          <w:t>подп. "б" п. 4 Положения</w:t>
        </w:r>
      </w:hyperlink>
      <w:r>
        <w:rPr>
          <w:lang w:eastAsia="ru-RU"/>
        </w:rPr>
        <w:t>, и объем планируемых закупок, участниками которых являются только субъекты МСП, увеличен с 15% до 18% (</w:t>
      </w:r>
      <w:hyperlink r:id="rId75" w:history="1">
        <w:r>
          <w:rPr>
            <w:rStyle w:val="a3"/>
            <w:lang w:eastAsia="ru-RU"/>
          </w:rPr>
          <w:t>постановление Правительства РФ от 1 августа 2019 г. № 1001</w:t>
        </w:r>
      </w:hyperlink>
      <w:r>
        <w:rPr>
          <w:lang w:eastAsia="ru-RU"/>
        </w:rPr>
        <w:t>).</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Разъяснен порядок передачи полномочий по ведению бухучета централизованной бухгалтерии</w:t>
      </w:r>
    </w:p>
    <w:p w:rsidR="00CC3CB3" w:rsidRDefault="00CC3CB3" w:rsidP="00CC3CB3">
      <w:pPr>
        <w:rPr>
          <w:lang w:eastAsia="ru-RU"/>
        </w:rPr>
      </w:pPr>
      <w:r>
        <w:rPr>
          <w:lang w:eastAsia="ru-RU"/>
        </w:rPr>
        <w:t>15 августа 2019</w:t>
      </w:r>
    </w:p>
    <w:p w:rsidR="00CC3CB3" w:rsidRDefault="00CC3CB3" w:rsidP="00CC3CB3">
      <w:pPr>
        <w:rPr>
          <w:lang w:eastAsia="ru-RU"/>
        </w:rPr>
      </w:pPr>
      <w:r>
        <w:rPr>
          <w:lang w:eastAsia="ru-RU"/>
        </w:rPr>
        <w:t>Минфин России разъяснил порядок заполнения бухгалтерской и бюджетной отчетности централизованной бухгалтерией (</w:t>
      </w:r>
      <w:hyperlink r:id="rId76" w:history="1">
        <w:r>
          <w:rPr>
            <w:rStyle w:val="a3"/>
            <w:lang w:eastAsia="ru-RU"/>
          </w:rPr>
          <w:t>письмо Минфина России от 2 августа 2019 г. № 02-07-10/58448</w:t>
        </w:r>
      </w:hyperlink>
      <w:r>
        <w:rPr>
          <w:lang w:eastAsia="ru-RU"/>
        </w:rPr>
        <w:t>).</w:t>
      </w:r>
    </w:p>
    <w:p w:rsidR="00CC3CB3" w:rsidRDefault="00CC3CB3" w:rsidP="00CC3CB3">
      <w:pPr>
        <w:rPr>
          <w:lang w:eastAsia="ru-RU"/>
        </w:rPr>
      </w:pPr>
      <w:r>
        <w:rPr>
          <w:lang w:eastAsia="ru-RU"/>
        </w:rPr>
        <w:t>Законодательством установлено право передать ведение бюджетного и бухгалтерского учета участниками бюджетного процесса любой уполномоченной организации (учреждению или органу госвласти) (</w:t>
      </w:r>
      <w:hyperlink r:id="rId77" w:history="1">
        <w:r>
          <w:rPr>
            <w:rStyle w:val="a3"/>
            <w:lang w:eastAsia="ru-RU"/>
          </w:rPr>
          <w:t>приказ Минфина России от 1 декабря 2010 г. № 157н</w:t>
        </w:r>
      </w:hyperlink>
      <w:r>
        <w:rPr>
          <w:lang w:eastAsia="ru-RU"/>
        </w:rPr>
        <w:t>). Именно такая организация, которая будет признаваться централизованной бухгалтерией, подписывает бухгалтерскую (финансовую) отчетность (</w:t>
      </w:r>
      <w:hyperlink r:id="rId78" w:anchor="block_1308" w:history="1">
        <w:r>
          <w:rPr>
            <w:rStyle w:val="a3"/>
            <w:lang w:eastAsia="ru-RU"/>
          </w:rPr>
          <w:t>п. 8 ст. 13</w:t>
        </w:r>
      </w:hyperlink>
      <w:r>
        <w:rPr>
          <w:lang w:eastAsia="ru-RU"/>
        </w:rPr>
        <w:t>, </w:t>
      </w:r>
      <w:hyperlink r:id="rId79" w:anchor="block_307" w:history="1">
        <w:r>
          <w:rPr>
            <w:rStyle w:val="a3"/>
            <w:lang w:eastAsia="ru-RU"/>
          </w:rPr>
          <w:t>п. 7 ст. 3 Федерального закона от 6 декабря 2011 г. № 402-ФЗ</w:t>
        </w:r>
      </w:hyperlink>
      <w:r>
        <w:rPr>
          <w:lang w:eastAsia="ru-RU"/>
        </w:rPr>
        <w:t>, далее – Закон № 402-ФЗ). Но, как обращает внимание Минфин России,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 единолично несет руководитель экономического субъекта, передавшего ведение бухгалтерского учета централизованной бухгалтерии (</w:t>
      </w:r>
      <w:hyperlink r:id="rId80" w:anchor="block_708" w:history="1">
        <w:r>
          <w:rPr>
            <w:rStyle w:val="a3"/>
            <w:lang w:eastAsia="ru-RU"/>
          </w:rPr>
          <w:t>п. 8 ст. 7 Федерального закона от 6 декабря 2011 г. № 402-ФЗ</w:t>
        </w:r>
      </w:hyperlink>
      <w:r>
        <w:rPr>
          <w:lang w:eastAsia="ru-RU"/>
        </w:rPr>
        <w:t>).</w:t>
      </w:r>
    </w:p>
    <w:p w:rsidR="00CC3CB3" w:rsidRDefault="00CC3CB3" w:rsidP="00CC3CB3">
      <w:pPr>
        <w:rPr>
          <w:lang w:eastAsia="ru-RU"/>
        </w:rPr>
      </w:pPr>
      <w:r>
        <w:rPr>
          <w:lang w:eastAsia="ru-RU"/>
        </w:rPr>
        <w:t>Аналогичное правило действует и в отношении годовой, квартальной и месячной отчетности об исполнении бюджетов (</w:t>
      </w:r>
      <w:hyperlink r:id="rId81" w:anchor="block_1006" w:history="1">
        <w:r>
          <w:rPr>
            <w:rStyle w:val="a3"/>
            <w:lang w:eastAsia="ru-RU"/>
          </w:rPr>
          <w:t>п. 6 приказа Минфина России от 28 декабря 2010 г. № 191н</w:t>
        </w:r>
      </w:hyperlink>
      <w:r>
        <w:rPr>
          <w:lang w:eastAsia="ru-RU"/>
        </w:rPr>
        <w:t xml:space="preserve">). При этом </w:t>
      </w:r>
      <w:r>
        <w:rPr>
          <w:lang w:eastAsia="ru-RU"/>
        </w:rPr>
        <w:lastRenderedPageBreak/>
        <w:t>информация об исполнителе (Ф. И. О. и должность) централизованной бухгалтерии, составившем бухгалтерскую отчетность, должна отражаться в Пояснительной записке (форма 0503160) при наличии. Если же ведением учета и составлением отчетности занимается не один сотрудник централизованной бухгалтерии, то, по мнению Минфина России, необходимо указывать информацию об уполномоченном ответственном лице, которому предоставлено право подписывать бюджетную или бухгалтерскую (финансовой) отчетность. Отсутствие такой информации не является нарушением требований к бюджетному (бухгалтерскому) учету, в том числе к составлению, представлению бюджетной, бухгалтерской (финансовой) отчетности, которое влечет административную ответственность, предусмотренную </w:t>
      </w:r>
      <w:hyperlink r:id="rId82" w:anchor="block_15156" w:history="1">
        <w:r>
          <w:rPr>
            <w:rStyle w:val="a3"/>
            <w:lang w:eastAsia="ru-RU"/>
          </w:rPr>
          <w:t>ст. 15.15.6 КоАП</w:t>
        </w:r>
      </w:hyperlink>
      <w:r>
        <w:rPr>
          <w:lang w:eastAsia="ru-RU"/>
        </w:rPr>
        <w:t>. Также, такая ошибка не влияет на искажение показателей бюджетной или бухгалтерской (финансовой) отчетности об активах и обязательствах (объектах бухгалтерского учета), а значит не влияет на достоверность бюджетной или бухгалтерской (финансовой) отчетности.</w:t>
      </w:r>
    </w:p>
    <w:p w:rsidR="00CC3CB3" w:rsidRDefault="00CC3CB3" w:rsidP="00CC3CB3">
      <w:pPr>
        <w:rPr>
          <w:lang w:eastAsia="ru-RU"/>
        </w:rPr>
      </w:pPr>
    </w:p>
    <w:p w:rsidR="00CC3CB3" w:rsidRDefault="00CC3CB3" w:rsidP="00CC3CB3">
      <w:pPr>
        <w:rPr>
          <w:lang w:eastAsia="ru-RU"/>
        </w:rPr>
      </w:pPr>
    </w:p>
    <w:p w:rsidR="00CC3CB3" w:rsidRDefault="00CC3CB3" w:rsidP="00CC3CB3">
      <w:pPr>
        <w:rPr>
          <w:b/>
          <w:bCs/>
          <w:lang w:eastAsia="ru-RU"/>
        </w:rPr>
      </w:pPr>
      <w:r>
        <w:rPr>
          <w:b/>
          <w:bCs/>
          <w:lang w:eastAsia="ru-RU"/>
        </w:rPr>
        <w:t>Проверки ломбардов и продавцов ювелирных изделий могут участиться</w:t>
      </w:r>
    </w:p>
    <w:p w:rsidR="00CC3CB3" w:rsidRDefault="00CC3CB3" w:rsidP="00CC3CB3">
      <w:pPr>
        <w:rPr>
          <w:lang w:eastAsia="ru-RU"/>
        </w:rPr>
      </w:pPr>
      <w:r>
        <w:rPr>
          <w:lang w:eastAsia="ru-RU"/>
        </w:rPr>
        <w:t>16 августа 2019</w:t>
      </w:r>
    </w:p>
    <w:p w:rsidR="00CC3CB3" w:rsidRDefault="00CC3CB3" w:rsidP="00CC3CB3">
      <w:pPr>
        <w:rPr>
          <w:lang w:eastAsia="ru-RU"/>
        </w:rPr>
      </w:pPr>
      <w:r>
        <w:rPr>
          <w:lang w:eastAsia="ru-RU"/>
        </w:rPr>
        <w:t>Минфин России разработал законопроект, предусматривающий изменение частоты проведения плановых проверок в отношении ломбардов и продавцов ювелирных изделий</w:t>
      </w:r>
      <w:hyperlink r:id="rId83" w:anchor="sdfootnote1sym" w:history="1">
        <w:r>
          <w:rPr>
            <w:rStyle w:val="a3"/>
            <w:vertAlign w:val="superscript"/>
            <w:lang w:eastAsia="ru-RU"/>
          </w:rPr>
          <w:t>1</w:t>
        </w:r>
      </w:hyperlink>
      <w:r>
        <w:rPr>
          <w:lang w:eastAsia="ru-RU"/>
        </w:rPr>
        <w:t>.</w:t>
      </w:r>
    </w:p>
    <w:p w:rsidR="00CC3CB3" w:rsidRDefault="00CC3CB3" w:rsidP="00CC3CB3">
      <w:pPr>
        <w:rPr>
          <w:lang w:eastAsia="ru-RU"/>
        </w:rPr>
      </w:pPr>
      <w:r>
        <w:rPr>
          <w:lang w:eastAsia="ru-RU"/>
        </w:rPr>
        <w:t>Поправки были инициированы в связи с внесением изменений в </w:t>
      </w:r>
      <w:hyperlink r:id="rId84" w:history="1">
        <w:r>
          <w:rPr>
            <w:rStyle w:val="a3"/>
            <w:lang w:eastAsia="ru-RU"/>
          </w:rPr>
          <w:t>Федеральный закон от 26 декабря 2008 г. № 294-ФЗ</w:t>
        </w:r>
      </w:hyperlink>
      <w:r>
        <w:rPr>
          <w:lang w:eastAsia="ru-RU"/>
        </w:rPr>
        <w:t> в части отмены запрета на проведение плановых проверок, чаще чем один раза в три года, в отношении юрлиц и предпринимателей, осуществляющих операции с драгметаллами и драгкамнями (</w:t>
      </w:r>
      <w:hyperlink r:id="rId85" w:history="1">
        <w:r>
          <w:rPr>
            <w:rStyle w:val="a3"/>
            <w:lang w:eastAsia="ru-RU"/>
          </w:rPr>
          <w:t>Федеральный закон от 6 июня 2019 г. № 130-ФЗ</w:t>
        </w:r>
      </w:hyperlink>
      <w:r>
        <w:rPr>
          <w:lang w:eastAsia="ru-RU"/>
        </w:rPr>
        <w:t>). Законопроектом предлагается расширить указанный перечень видов деятельности, добавив в него виды деятельности в области производства и обращения драгметаллов и драгкамней и периодичность их проверок.</w:t>
      </w:r>
    </w:p>
    <w:p w:rsidR="00CC3CB3" w:rsidRDefault="00CC3CB3" w:rsidP="00CC3CB3">
      <w:pPr>
        <w:rPr>
          <w:lang w:eastAsia="ru-RU"/>
        </w:rPr>
      </w:pPr>
      <w:r>
        <w:rPr>
          <w:lang w:eastAsia="ru-RU"/>
        </w:rPr>
        <w:t>Так, предлагается установить следующие сроки проверки:</w:t>
      </w:r>
    </w:p>
    <w:p w:rsidR="00CC3CB3" w:rsidRDefault="00CC3CB3" w:rsidP="00CC3CB3">
      <w:pPr>
        <w:numPr>
          <w:ilvl w:val="0"/>
          <w:numId w:val="11"/>
        </w:numPr>
        <w:rPr>
          <w:rFonts w:eastAsia="Times New Roman"/>
          <w:lang w:eastAsia="ru-RU"/>
        </w:rPr>
      </w:pPr>
      <w:r>
        <w:rPr>
          <w:rFonts w:eastAsia="Times New Roman"/>
          <w:lang w:eastAsia="ru-RU"/>
        </w:rPr>
        <w:t>розничная торговля ювелирными и другими изделиями из драгоценных металлов и (или) драгоценных камней – не чаще одного раза в год;</w:t>
      </w:r>
    </w:p>
    <w:p w:rsidR="00CC3CB3" w:rsidRDefault="00CC3CB3" w:rsidP="00CC3CB3">
      <w:pPr>
        <w:numPr>
          <w:ilvl w:val="0"/>
          <w:numId w:val="11"/>
        </w:numPr>
        <w:rPr>
          <w:rFonts w:eastAsia="Times New Roman"/>
          <w:lang w:eastAsia="ru-RU"/>
        </w:rPr>
      </w:pPr>
      <w:r>
        <w:rPr>
          <w:rFonts w:eastAsia="Times New Roman"/>
          <w:lang w:eastAsia="ru-RU"/>
        </w:rPr>
        <w:t>оптовая торговля ювелирными и другими изделиями из драгоценных металлов и (или) драгоценных камней – не чаще одного раза в год;</w:t>
      </w:r>
    </w:p>
    <w:p w:rsidR="00CC3CB3" w:rsidRDefault="00CC3CB3" w:rsidP="00CC3CB3">
      <w:pPr>
        <w:numPr>
          <w:ilvl w:val="0"/>
          <w:numId w:val="11"/>
        </w:numPr>
        <w:rPr>
          <w:rFonts w:eastAsia="Times New Roman"/>
          <w:lang w:eastAsia="ru-RU"/>
        </w:rPr>
      </w:pPr>
      <w:r>
        <w:rPr>
          <w:rFonts w:eastAsia="Times New Roman"/>
          <w:lang w:eastAsia="ru-RU"/>
        </w:rPr>
        <w:t>комиссионная торговля ювелирными и другими изделиями из драгоценных металлов и (или) драгоценных камней – не чаще одного раза в год;</w:t>
      </w:r>
    </w:p>
    <w:p w:rsidR="00CC3CB3" w:rsidRDefault="00CC3CB3" w:rsidP="00CC3CB3">
      <w:pPr>
        <w:numPr>
          <w:ilvl w:val="0"/>
          <w:numId w:val="11"/>
        </w:numPr>
        <w:rPr>
          <w:rFonts w:eastAsia="Times New Roman"/>
          <w:lang w:eastAsia="ru-RU"/>
        </w:rPr>
      </w:pPr>
      <w:r>
        <w:rPr>
          <w:rFonts w:eastAsia="Times New Roman"/>
          <w:lang w:eastAsia="ru-RU"/>
        </w:rPr>
        <w:t>ломбардная деятельность – не чаще одного раза в год;</w:t>
      </w:r>
    </w:p>
    <w:p w:rsidR="00CC3CB3" w:rsidRDefault="00CC3CB3" w:rsidP="00CC3CB3">
      <w:pPr>
        <w:numPr>
          <w:ilvl w:val="0"/>
          <w:numId w:val="11"/>
        </w:numPr>
        <w:rPr>
          <w:rFonts w:eastAsia="Times New Roman"/>
          <w:lang w:eastAsia="ru-RU"/>
        </w:rPr>
      </w:pPr>
      <w:r>
        <w:rPr>
          <w:rFonts w:eastAsia="Times New Roman"/>
          <w:lang w:eastAsia="ru-RU"/>
        </w:rPr>
        <w:t>скупка ювелирных и других изделий из драгоценных металлов и (или) драгоценных камней, лома таких изделий – не чаще одного раза в год;</w:t>
      </w:r>
    </w:p>
    <w:p w:rsidR="00CC3CB3" w:rsidRDefault="00CC3CB3" w:rsidP="00CC3CB3">
      <w:pPr>
        <w:numPr>
          <w:ilvl w:val="0"/>
          <w:numId w:val="11"/>
        </w:numPr>
        <w:rPr>
          <w:rFonts w:eastAsia="Times New Roman"/>
          <w:lang w:eastAsia="ru-RU"/>
        </w:rPr>
      </w:pPr>
      <w:r>
        <w:rPr>
          <w:rFonts w:eastAsia="Times New Roman"/>
          <w:lang w:eastAsia="ru-RU"/>
        </w:rPr>
        <w:t>обработка (переработка) лома и отходов драгоценных металлов – не чаще одного раза в  два года;</w:t>
      </w:r>
    </w:p>
    <w:p w:rsidR="00CC3CB3" w:rsidRDefault="00CC3CB3" w:rsidP="00CC3CB3">
      <w:pPr>
        <w:numPr>
          <w:ilvl w:val="0"/>
          <w:numId w:val="11"/>
        </w:numPr>
        <w:rPr>
          <w:rFonts w:eastAsia="Times New Roman"/>
          <w:lang w:eastAsia="ru-RU"/>
        </w:rPr>
      </w:pPr>
      <w:r>
        <w:rPr>
          <w:rFonts w:eastAsia="Times New Roman"/>
          <w:lang w:eastAsia="ru-RU"/>
        </w:rPr>
        <w:t>производство ювелирных и других изделий из драгоценных металлов и (или) драгоценных камней – не чаще одного раза в два года;</w:t>
      </w:r>
    </w:p>
    <w:p w:rsidR="00CC3CB3" w:rsidRDefault="00CC3CB3" w:rsidP="00CC3CB3">
      <w:pPr>
        <w:numPr>
          <w:ilvl w:val="0"/>
          <w:numId w:val="11"/>
        </w:numPr>
        <w:rPr>
          <w:rFonts w:eastAsia="Times New Roman"/>
          <w:lang w:eastAsia="ru-RU"/>
        </w:rPr>
      </w:pPr>
      <w:r>
        <w:rPr>
          <w:rFonts w:eastAsia="Times New Roman"/>
          <w:lang w:eastAsia="ru-RU"/>
        </w:rPr>
        <w:t>ремонт ювелирных и других изделий из драгоценных металлов и (или) драгоценных камней – не чаще одного раза в два года;</w:t>
      </w:r>
    </w:p>
    <w:p w:rsidR="00CC3CB3" w:rsidRDefault="00CC3CB3" w:rsidP="00CC3CB3">
      <w:pPr>
        <w:numPr>
          <w:ilvl w:val="0"/>
          <w:numId w:val="11"/>
        </w:numPr>
        <w:rPr>
          <w:rFonts w:eastAsia="Times New Roman"/>
          <w:lang w:eastAsia="ru-RU"/>
        </w:rPr>
      </w:pPr>
      <w:r>
        <w:rPr>
          <w:rFonts w:eastAsia="Times New Roman"/>
          <w:lang w:eastAsia="ru-RU"/>
        </w:rPr>
        <w:t>производство драгоценных металлов (за исключением аффинажа), полуфабрикатов из драгоценных металлов, изделий из драгоценных металлов – не чаще одного раза в два года.</w:t>
      </w:r>
    </w:p>
    <w:p w:rsidR="00CC3CB3" w:rsidRDefault="00CC3CB3" w:rsidP="00CC3CB3">
      <w:pPr>
        <w:rPr>
          <w:lang w:eastAsia="ru-RU"/>
        </w:rPr>
      </w:pPr>
    </w:p>
    <w:p w:rsidR="00CC3CB3" w:rsidRDefault="00CC3CB3" w:rsidP="00CC3CB3">
      <w:pPr>
        <w:rPr>
          <w:b/>
          <w:bCs/>
          <w:lang w:eastAsia="ru-RU"/>
        </w:rPr>
      </w:pPr>
      <w:r>
        <w:rPr>
          <w:b/>
          <w:bCs/>
          <w:lang w:eastAsia="ru-RU"/>
        </w:rPr>
        <w:t>В России утвержден ГОСТ на охрану образовательных организаций</w:t>
      </w:r>
    </w:p>
    <w:p w:rsidR="00CC3CB3" w:rsidRDefault="00CC3CB3" w:rsidP="00CC3CB3">
      <w:pPr>
        <w:rPr>
          <w:lang w:eastAsia="ru-RU"/>
        </w:rPr>
      </w:pPr>
      <w:r>
        <w:rPr>
          <w:lang w:eastAsia="ru-RU"/>
        </w:rPr>
        <w:t>16 августа 2019</w:t>
      </w:r>
    </w:p>
    <w:p w:rsidR="00CC3CB3" w:rsidRDefault="00CC3CB3" w:rsidP="00CC3CB3">
      <w:pPr>
        <w:rPr>
          <w:lang w:eastAsia="ru-RU"/>
        </w:rPr>
      </w:pPr>
      <w:r>
        <w:rPr>
          <w:lang w:eastAsia="ru-RU"/>
        </w:rPr>
        <w:t>Об этом сообщается на официальном сайте Росстандарта, выступившего разработчиком соответствующего документа. Необходимость его утверждения связана с тем, что, по оценке экспертов, только около 30% из более чем 45 тыс. действующих в России общеобразовательных организаций, профессиональных и дошкольных образовательных организаций обеспечены должной охраной.</w:t>
      </w:r>
    </w:p>
    <w:p w:rsidR="00CC3CB3" w:rsidRDefault="00CC3CB3" w:rsidP="00CC3CB3">
      <w:pPr>
        <w:rPr>
          <w:lang w:eastAsia="ru-RU"/>
        </w:rPr>
      </w:pPr>
      <w:r>
        <w:rPr>
          <w:lang w:eastAsia="ru-RU"/>
        </w:rPr>
        <w:t xml:space="preserve">"В связи с этим нередко происходят трагедии и резонансные происшествия, связанные либо с отсутствием охраны, либо с ее непрофессиональной работой", – отмечает Росстандарт. По </w:t>
      </w:r>
      <w:r>
        <w:rPr>
          <w:lang w:eastAsia="ru-RU"/>
        </w:rPr>
        <w:lastRenderedPageBreak/>
        <w:t>данным статистики, за несколько лет в школах и колледжах 18 регионов России было совершено 24 преступления с использованием оружия и взрывных устройств. При этом ранено 99 человек, погибли 24 человека, из них 12 детей.</w:t>
      </w:r>
    </w:p>
    <w:p w:rsidR="00CC3CB3" w:rsidRDefault="00CC3CB3" w:rsidP="00CC3CB3">
      <w:pPr>
        <w:rPr>
          <w:lang w:eastAsia="ru-RU"/>
        </w:rPr>
      </w:pPr>
      <w:r>
        <w:rPr>
          <w:lang w:eastAsia="ru-RU"/>
        </w:rPr>
        <w:t>Утвержденный ГОСТ по обеспечению безопасности образовательных организаций и оказанию охранных услуг на объектах дошкольных, общеобразовательных и профессиональных образовательных организаций направлен на:</w:t>
      </w:r>
    </w:p>
    <w:p w:rsidR="00CC3CB3" w:rsidRDefault="00CC3CB3" w:rsidP="00CC3CB3">
      <w:pPr>
        <w:numPr>
          <w:ilvl w:val="0"/>
          <w:numId w:val="12"/>
        </w:numPr>
        <w:rPr>
          <w:rFonts w:eastAsia="Times New Roman"/>
          <w:lang w:eastAsia="ru-RU"/>
        </w:rPr>
      </w:pPr>
      <w:r>
        <w:rPr>
          <w:rFonts w:eastAsia="Times New Roman"/>
          <w:lang w:eastAsia="ru-RU"/>
        </w:rPr>
        <w:t>обеспечение безопасности учащихся и персонала во время пребывания на объектах дошкольных, общеобразовательных и профессиональных образовательных организаций;</w:t>
      </w:r>
    </w:p>
    <w:p w:rsidR="00CC3CB3" w:rsidRDefault="00CC3CB3" w:rsidP="00CC3CB3">
      <w:pPr>
        <w:numPr>
          <w:ilvl w:val="0"/>
          <w:numId w:val="12"/>
        </w:numPr>
        <w:rPr>
          <w:rFonts w:eastAsia="Times New Roman"/>
          <w:lang w:eastAsia="ru-RU"/>
        </w:rPr>
      </w:pPr>
      <w:r>
        <w:rPr>
          <w:rFonts w:eastAsia="Times New Roman"/>
          <w:lang w:eastAsia="ru-RU"/>
        </w:rPr>
        <w:t>минимизацию рисков совершения преступлений на указанных объектах;</w:t>
      </w:r>
    </w:p>
    <w:p w:rsidR="00CC3CB3" w:rsidRDefault="00CC3CB3" w:rsidP="00CC3CB3">
      <w:pPr>
        <w:numPr>
          <w:ilvl w:val="0"/>
          <w:numId w:val="12"/>
        </w:numPr>
        <w:rPr>
          <w:rFonts w:eastAsia="Times New Roman"/>
          <w:lang w:eastAsia="ru-RU"/>
        </w:rPr>
      </w:pPr>
      <w:r>
        <w:rPr>
          <w:rFonts w:eastAsia="Times New Roman"/>
          <w:lang w:eastAsia="ru-RU"/>
        </w:rPr>
        <w:t>введение единых требований к оказанию охранных услуг в учебных заведениях, в т. ч. к обеспечению пропускного и внутриобъектового режимов.</w:t>
      </w:r>
    </w:p>
    <w:p w:rsidR="00CC3CB3" w:rsidRDefault="00CC3CB3" w:rsidP="00CC3CB3">
      <w:pPr>
        <w:rPr>
          <w:lang w:eastAsia="ru-RU"/>
        </w:rPr>
      </w:pPr>
      <w:r>
        <w:rPr>
          <w:lang w:eastAsia="ru-RU"/>
        </w:rPr>
        <w:t>Достижению этих целей будет способствовать установление в Стандарте не только требований к самой организации, допускаемой к охране объекта образования, но и к алгоритму осуществления охранных услуг и содержанию основных документов, регламентирующих данные процессы. В приложениях рекомендованы типовое положение о пропускном и внутриобъектовом режимах и типовая должностная инструкция охранника.</w:t>
      </w:r>
    </w:p>
    <w:p w:rsidR="00CC3CB3" w:rsidRDefault="00CC3CB3" w:rsidP="00CC3CB3">
      <w:pPr>
        <w:rPr>
          <w:lang w:eastAsia="ru-RU"/>
        </w:rPr>
      </w:pPr>
      <w:r>
        <w:rPr>
          <w:lang w:eastAsia="ru-RU"/>
        </w:rPr>
        <w:t>ГОСТ начнет действовать с 1 сентября 2019 года. Ожидается, что применение единых правил к обеспечению охраны объектов образования позволит принимать безотлагательные меры по обеспечению безопасности и охране таких объектов на должном уровне уже в новом учебном году.</w:t>
      </w:r>
    </w:p>
    <w:p w:rsidR="00AC2813" w:rsidRDefault="00AC2813">
      <w:bookmarkStart w:id="7" w:name="_GoBack"/>
      <w:bookmarkEnd w:id="7"/>
    </w:p>
    <w:sectPr w:rsidR="00AC2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E775E"/>
    <w:multiLevelType w:val="multilevel"/>
    <w:tmpl w:val="407E9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674DA"/>
    <w:multiLevelType w:val="multilevel"/>
    <w:tmpl w:val="234A2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C162F"/>
    <w:multiLevelType w:val="multilevel"/>
    <w:tmpl w:val="5FEEA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50D88"/>
    <w:multiLevelType w:val="multilevel"/>
    <w:tmpl w:val="95E2A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506A1"/>
    <w:multiLevelType w:val="multilevel"/>
    <w:tmpl w:val="E0BE5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86A0D"/>
    <w:multiLevelType w:val="multilevel"/>
    <w:tmpl w:val="6AE0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B18D3"/>
    <w:multiLevelType w:val="multilevel"/>
    <w:tmpl w:val="3C6A3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D06CB"/>
    <w:multiLevelType w:val="multilevel"/>
    <w:tmpl w:val="9C5C0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A49CD"/>
    <w:multiLevelType w:val="multilevel"/>
    <w:tmpl w:val="1B6E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B0D72"/>
    <w:multiLevelType w:val="multilevel"/>
    <w:tmpl w:val="DFA2D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256EE"/>
    <w:multiLevelType w:val="multilevel"/>
    <w:tmpl w:val="5C1C3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C4486"/>
    <w:multiLevelType w:val="multilevel"/>
    <w:tmpl w:val="352E7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09"/>
    <w:rsid w:val="00704809"/>
    <w:rsid w:val="00AC2813"/>
    <w:rsid w:val="00CC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CF89C-6D36-43EF-AB88-246F60C1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B3"/>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3C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5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88083/" TargetMode="External"/><Relationship Id="rId18" Type="http://schemas.openxmlformats.org/officeDocument/2006/relationships/hyperlink" Target="mailto:ivanovaea@fas.gov.ru" TargetMode="External"/><Relationship Id="rId26" Type="http://schemas.openxmlformats.org/officeDocument/2006/relationships/hyperlink" Target="http://base.garant.ru/70782736/02449a033b1428114a1dfb3359727a68/" TargetMode="External"/><Relationship Id="rId39" Type="http://schemas.openxmlformats.org/officeDocument/2006/relationships/hyperlink" Target="http://base.garant.ru/184404/b3975f01ce8b0eb0c9b11526d9b4c7bf/" TargetMode="External"/><Relationship Id="rId21" Type="http://schemas.openxmlformats.org/officeDocument/2006/relationships/hyperlink" Target="http://base.garant.ru/72362272/" TargetMode="External"/><Relationship Id="rId34" Type="http://schemas.openxmlformats.org/officeDocument/2006/relationships/hyperlink" Target="http://base.garant.ru/72362264/" TargetMode="External"/><Relationship Id="rId42" Type="http://schemas.openxmlformats.org/officeDocument/2006/relationships/hyperlink" Target="https://www.garant.ru/news/1287459/" TargetMode="External"/><Relationship Id="rId47" Type="http://schemas.openxmlformats.org/officeDocument/2006/relationships/hyperlink" Target="http://base.garant.ru/12154840/" TargetMode="External"/><Relationship Id="rId50" Type="http://schemas.openxmlformats.org/officeDocument/2006/relationships/hyperlink" Target="http://base.garant.ru/72360904/" TargetMode="External"/><Relationship Id="rId55" Type="http://schemas.openxmlformats.org/officeDocument/2006/relationships/hyperlink" Target="https://www.garant.ru/files/9/3/1287739/proekt_ukazaniya_banka_rossii_o_pravilah_nalichnih_raschetov_po_sostoyaniyu.rtf" TargetMode="External"/><Relationship Id="rId63" Type="http://schemas.openxmlformats.org/officeDocument/2006/relationships/hyperlink" Target="https://internet.garant.ru/" TargetMode="External"/><Relationship Id="rId68" Type="http://schemas.openxmlformats.org/officeDocument/2006/relationships/hyperlink" Target="http://base.garant.ru/12125268/da886ff15d710e23b07f0b0e38e409fa/" TargetMode="External"/><Relationship Id="rId76" Type="http://schemas.openxmlformats.org/officeDocument/2006/relationships/hyperlink" Target="https://www.garant.ru/files/3/1/1288013/pismo_minfina_rossii_ot_2_avgusta_2019_g_n_02_07_10_58448_o_peredache_polnomochiy.rtf" TargetMode="External"/><Relationship Id="rId84" Type="http://schemas.openxmlformats.org/officeDocument/2006/relationships/hyperlink" Target="http://base.garant.ru/12164247/" TargetMode="External"/><Relationship Id="rId7" Type="http://schemas.openxmlformats.org/officeDocument/2006/relationships/hyperlink" Target="http://base.garant.ru/10164072/3434e70f836e9f461d511ad735f23d4e/" TargetMode="External"/><Relationship Id="rId71" Type="http://schemas.openxmlformats.org/officeDocument/2006/relationships/hyperlink" Target="http://base.garant.ru/100260/89300effb84a59912210b23abe10a68f/" TargetMode="External"/><Relationship Id="rId2" Type="http://schemas.openxmlformats.org/officeDocument/2006/relationships/styles" Target="styles.xml"/><Relationship Id="rId16" Type="http://schemas.openxmlformats.org/officeDocument/2006/relationships/hyperlink" Target="http://base.garant.ru/12188083/" TargetMode="External"/><Relationship Id="rId29" Type="http://schemas.openxmlformats.org/officeDocument/2006/relationships/hyperlink" Target="http://base.garant.ru/12125268/304b568ed0875b52a564119b6f7ca53e/" TargetMode="External"/><Relationship Id="rId11" Type="http://schemas.openxmlformats.org/officeDocument/2006/relationships/hyperlink" Target="http://base.garant.ru/10900200/9cd87e493d9fc9c9d85aab7e16da9038/" TargetMode="External"/><Relationship Id="rId24" Type="http://schemas.openxmlformats.org/officeDocument/2006/relationships/hyperlink" Target="http://base.garant.ru/72347188/" TargetMode="External"/><Relationship Id="rId32" Type="http://schemas.openxmlformats.org/officeDocument/2006/relationships/hyperlink" Target="http://base.garant.ru/72005594/" TargetMode="External"/><Relationship Id="rId37" Type="http://schemas.openxmlformats.org/officeDocument/2006/relationships/hyperlink" Target="http://base.garant.ru/1305770/4288a49e38eebbaa5e5d5a8c716dfc29/" TargetMode="External"/><Relationship Id="rId40" Type="http://schemas.openxmlformats.org/officeDocument/2006/relationships/hyperlink" Target="http://base.garant.ru/72235256/" TargetMode="External"/><Relationship Id="rId45" Type="http://schemas.openxmlformats.org/officeDocument/2006/relationships/hyperlink" Target="http://base.garant.ru/72474196/" TargetMode="External"/><Relationship Id="rId53" Type="http://schemas.openxmlformats.org/officeDocument/2006/relationships/hyperlink" Target="http://base.garant.ru/10108000/7a9baebeba6df032285e7a8b90e7201e/" TargetMode="External"/><Relationship Id="rId58" Type="http://schemas.openxmlformats.org/officeDocument/2006/relationships/hyperlink" Target="http://www.garant.ru/news/1287724/" TargetMode="External"/><Relationship Id="rId66" Type="http://schemas.openxmlformats.org/officeDocument/2006/relationships/hyperlink" Target="https://www.garant.ru/files/8/1/1287918/pismo_fonda_sotsialnogo_strahovaniya_rf_ot_5_iyulya_2019_g___02_08_01_16_05_6557l.rtf" TargetMode="External"/><Relationship Id="rId74" Type="http://schemas.openxmlformats.org/officeDocument/2006/relationships/hyperlink" Target="http://base.garant.ru/70819336/a8dc5d9215f4b31402a115b13da3d929/" TargetMode="External"/><Relationship Id="rId79" Type="http://schemas.openxmlformats.org/officeDocument/2006/relationships/hyperlink" Target="http://base.garant.ru/70103036/5ac206a89ea76855804609cd950fcaf7/" TargetMode="External"/><Relationship Id="rId87" Type="http://schemas.openxmlformats.org/officeDocument/2006/relationships/theme" Target="theme/theme1.xml"/><Relationship Id="rId5" Type="http://schemas.openxmlformats.org/officeDocument/2006/relationships/hyperlink" Target="http://base.garant.ru/10164072/" TargetMode="External"/><Relationship Id="rId61" Type="http://schemas.openxmlformats.org/officeDocument/2006/relationships/hyperlink" Target="https://www.garant.ru/news/1287886/" TargetMode="External"/><Relationship Id="rId82" Type="http://schemas.openxmlformats.org/officeDocument/2006/relationships/hyperlink" Target="http://base.garant.ru/12125267/613f2c73cc3dcdf62bc6c0ec9bed6d69/" TargetMode="External"/><Relationship Id="rId19" Type="http://schemas.openxmlformats.org/officeDocument/2006/relationships/hyperlink" Target="http://base.garant.ru/72360782/" TargetMode="External"/><Relationship Id="rId4" Type="http://schemas.openxmlformats.org/officeDocument/2006/relationships/webSettings" Target="webSettings.xml"/><Relationship Id="rId9" Type="http://schemas.openxmlformats.org/officeDocument/2006/relationships/hyperlink" Target="http://base.garant.ru/10900200/9cd87e493d9fc9c9d85aab7e16da9038/" TargetMode="External"/><Relationship Id="rId14" Type="http://schemas.openxmlformats.org/officeDocument/2006/relationships/hyperlink" Target="http://base.garant.ru/12188083/" TargetMode="External"/><Relationship Id="rId22" Type="http://schemas.openxmlformats.org/officeDocument/2006/relationships/hyperlink" Target="http://zakupki.garant.ru/?utm_source=garant&amp;utm_medium=vrez&amp;utm_content=vert&amp;utm_campaign=ppp" TargetMode="External"/><Relationship Id="rId27" Type="http://schemas.openxmlformats.org/officeDocument/2006/relationships/hyperlink" Target="http://www.garant.ru/news/1273598/" TargetMode="External"/><Relationship Id="rId30" Type="http://schemas.openxmlformats.org/officeDocument/2006/relationships/hyperlink" Target="http://base.garant.ru/72185920/" TargetMode="External"/><Relationship Id="rId35" Type="http://schemas.openxmlformats.org/officeDocument/2006/relationships/hyperlink" Target="http://base.garant.ru/77682792/5cd0adf6ff1d07dffd68070d0f2219b8/" TargetMode="External"/><Relationship Id="rId43" Type="http://schemas.openxmlformats.org/officeDocument/2006/relationships/hyperlink" Target="http://base.garant.ru/1305770/4288a49e38eebbaa5e5d5a8c716dfc29/" TargetMode="External"/><Relationship Id="rId48" Type="http://schemas.openxmlformats.org/officeDocument/2006/relationships/hyperlink" Target="http://base.garant.ru/10108000/" TargetMode="External"/><Relationship Id="rId56" Type="http://schemas.openxmlformats.org/officeDocument/2006/relationships/hyperlink" Target="https://www.garant.ru/news/1287460/" TargetMode="External"/><Relationship Id="rId64" Type="http://schemas.openxmlformats.org/officeDocument/2006/relationships/hyperlink" Target="http://base.garant.ru/12125268/b5dae26bebf2908c0e8dd3b8a66868fe/" TargetMode="External"/><Relationship Id="rId69" Type="http://schemas.openxmlformats.org/officeDocument/2006/relationships/hyperlink" Target="http://base.garant.ru/181761/" TargetMode="External"/><Relationship Id="rId77" Type="http://schemas.openxmlformats.org/officeDocument/2006/relationships/hyperlink" Target="http://base.garant.ru/12180849/" TargetMode="External"/><Relationship Id="rId8" Type="http://schemas.openxmlformats.org/officeDocument/2006/relationships/hyperlink" Target="http://www.garant.ru/products/ipo/prime/doc/72229376/" TargetMode="External"/><Relationship Id="rId51" Type="http://schemas.openxmlformats.org/officeDocument/2006/relationships/hyperlink" Target="http://base.garant.ru/72362118/" TargetMode="External"/><Relationship Id="rId72" Type="http://schemas.openxmlformats.org/officeDocument/2006/relationships/hyperlink" Target="http://zakupki.garant.ru/?utm_source=garant&amp;utm_medium=vrez&amp;utm_content=gor&amp;utm_campaign=ppp" TargetMode="External"/><Relationship Id="rId80" Type="http://schemas.openxmlformats.org/officeDocument/2006/relationships/hyperlink" Target="http://base.garant.ru/70103036/e88847e78ccd9fdb54482c7fa15982bf/" TargetMode="External"/><Relationship Id="rId85" Type="http://schemas.openxmlformats.org/officeDocument/2006/relationships/hyperlink" Target="http://base.garant.ru/72262022/" TargetMode="External"/><Relationship Id="rId3" Type="http://schemas.openxmlformats.org/officeDocument/2006/relationships/settings" Target="settings.xml"/><Relationship Id="rId12" Type="http://schemas.openxmlformats.org/officeDocument/2006/relationships/hyperlink" Target="http://base.garant.ru/12188083/" TargetMode="External"/><Relationship Id="rId17" Type="http://schemas.openxmlformats.org/officeDocument/2006/relationships/hyperlink" Target="http://base.garant.ru/12188083/1cafb24d049dcd1e7707a22d98e9858f/" TargetMode="External"/><Relationship Id="rId25" Type="http://schemas.openxmlformats.org/officeDocument/2006/relationships/hyperlink" Target="http://base.garant.ru/70782736/02449a033b1428114a1dfb3359727a68/" TargetMode="External"/><Relationship Id="rId33" Type="http://schemas.openxmlformats.org/officeDocument/2006/relationships/hyperlink" Target="http://base.garant.ru/71129192/" TargetMode="External"/><Relationship Id="rId38" Type="http://schemas.openxmlformats.org/officeDocument/2006/relationships/hyperlink" Target="http://base.garant.ru/184404/" TargetMode="External"/><Relationship Id="rId46" Type="http://schemas.openxmlformats.org/officeDocument/2006/relationships/hyperlink" Target="https://www.garant.ru/news/1287724/" TargetMode="External"/><Relationship Id="rId59" Type="http://schemas.openxmlformats.org/officeDocument/2006/relationships/hyperlink" Target="https://www.garant.ru/files/0/6/1287460/rasporyagenie_pravitelstva_rf_ot_3_avgusta_2019_g_n_1733_r_o_vnesenii_v_gosudars(1).rtf" TargetMode="External"/><Relationship Id="rId67" Type="http://schemas.openxmlformats.org/officeDocument/2006/relationships/hyperlink" Target="http://www.garant.ru/hotlaw/federal/1288007/" TargetMode="External"/><Relationship Id="rId20" Type="http://schemas.openxmlformats.org/officeDocument/2006/relationships/hyperlink" Target="http://base.garant.ru/70700448/" TargetMode="External"/><Relationship Id="rId41" Type="http://schemas.openxmlformats.org/officeDocument/2006/relationships/hyperlink" Target="http://base.garant.ru/1305770/4288a49e38eebbaa5e5d5a8c716dfc29/" TargetMode="External"/><Relationship Id="rId54" Type="http://schemas.openxmlformats.org/officeDocument/2006/relationships/hyperlink" Target="http://base.garant.ru/70649660/" TargetMode="External"/><Relationship Id="rId62" Type="http://schemas.openxmlformats.org/officeDocument/2006/relationships/hyperlink" Target="https://www.garant.ru/news/1287901/" TargetMode="External"/><Relationship Id="rId70" Type="http://schemas.openxmlformats.org/officeDocument/2006/relationships/hyperlink" Target="http://base.garant.ru/100260/" TargetMode="External"/><Relationship Id="rId75" Type="http://schemas.openxmlformats.org/officeDocument/2006/relationships/hyperlink" Target="http://base.garant.ru/72363236/" TargetMode="External"/><Relationship Id="rId83" Type="http://schemas.openxmlformats.org/officeDocument/2006/relationships/hyperlink" Target="https://www.garant.ru/news/1288031/" TargetMode="External"/><Relationship Id="rId1" Type="http://schemas.openxmlformats.org/officeDocument/2006/relationships/numbering" Target="numbering.xml"/><Relationship Id="rId6" Type="http://schemas.openxmlformats.org/officeDocument/2006/relationships/hyperlink" Target="http://base.garant.ru/10164072/" TargetMode="External"/><Relationship Id="rId15" Type="http://schemas.openxmlformats.org/officeDocument/2006/relationships/hyperlink" Target="http://base.garant.ru/12188083/" TargetMode="External"/><Relationship Id="rId23" Type="http://schemas.openxmlformats.org/officeDocument/2006/relationships/hyperlink" Target="http://base.garant.ru/12188083/" TargetMode="External"/><Relationship Id="rId28" Type="http://schemas.openxmlformats.org/officeDocument/2006/relationships/hyperlink" Target="http://base.garant.ru/12125268/" TargetMode="External"/><Relationship Id="rId36" Type="http://schemas.openxmlformats.org/officeDocument/2006/relationships/hyperlink" Target="http://www.garant.ru/article/1280934/" TargetMode="External"/><Relationship Id="rId49" Type="http://schemas.openxmlformats.org/officeDocument/2006/relationships/hyperlink" Target="http://base.garant.ru/10108000/7a9baebeba6df032285e7a8b90e7201e/" TargetMode="External"/><Relationship Id="rId57" Type="http://schemas.openxmlformats.org/officeDocument/2006/relationships/hyperlink" Target="https://www.garant.ru/files/0/6/1287460/rasporyagenie_pravitelstva_rf_ot_3_avgusta_2019_g_n_1733_r_o_vnesenii_v_gosudars.rtf" TargetMode="External"/><Relationship Id="rId10" Type="http://schemas.openxmlformats.org/officeDocument/2006/relationships/hyperlink" Target="http://www.gosuslugi.ru" TargetMode="External"/><Relationship Id="rId31" Type="http://schemas.openxmlformats.org/officeDocument/2006/relationships/hyperlink" Target="http://base.garant.ru/72158122/" TargetMode="External"/><Relationship Id="rId44" Type="http://schemas.openxmlformats.org/officeDocument/2006/relationships/hyperlink" Target="http://base.garant.ru/71902134/10a84c5ec08c38ac725eae054e05b8e5/" TargetMode="External"/><Relationship Id="rId52" Type="http://schemas.openxmlformats.org/officeDocument/2006/relationships/hyperlink" Target="http://base.garant.ru/12125267/3fd059e2e2fbeeba664173764c2da12d/" TargetMode="External"/><Relationship Id="rId60" Type="http://schemas.openxmlformats.org/officeDocument/2006/relationships/hyperlink" Target="http://base.garant.ru/12125267/2ee07fb8ad2b6ee36a8598befe7fd0c7/" TargetMode="External"/><Relationship Id="rId65" Type="http://schemas.openxmlformats.org/officeDocument/2006/relationships/hyperlink" Target="http://base.garant.ru/12125268/81baf971a6153f148e790c1f0cecbd56/" TargetMode="External"/><Relationship Id="rId73" Type="http://schemas.openxmlformats.org/officeDocument/2006/relationships/hyperlink" Target="http://base.garant.ru/70819336/a8dc5d9215f4b31402a115b13da3d929/" TargetMode="External"/><Relationship Id="rId78" Type="http://schemas.openxmlformats.org/officeDocument/2006/relationships/hyperlink" Target="http://base.garant.ru/70103036/4d6cc5b8235f826b2c67847b967f8695/" TargetMode="External"/><Relationship Id="rId81" Type="http://schemas.openxmlformats.org/officeDocument/2006/relationships/hyperlink" Target="http://base.garant.ru/12181732/b1c53f47d0bb3a791ad5868c560616f5/"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8604</Words>
  <Characters>49044</Characters>
  <Application>Microsoft Office Word</Application>
  <DocSecurity>0</DocSecurity>
  <Lines>408</Lines>
  <Paragraphs>115</Paragraphs>
  <ScaleCrop>false</ScaleCrop>
  <Company/>
  <LinksUpToDate>false</LinksUpToDate>
  <CharactersWithSpaces>57533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2019-08-19T05:57:00Z</dcterms:created>
  <dcterms:modified xsi:type="dcterms:W3CDTF">2019-08-19T05:58:00Z</dcterms:modified>
</cp:coreProperties>
</file>