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Прокурорские проверки работодателей: чаще, активнее, больше (проект)</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4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Прокуроры усилят надзор за соблюдением трудового законодательства, количество проверок увеличится. Такой вывод можно сделать, изучив проект соответствующего приказа Генеральной прокуратуры РФ. Основные тренды прокурорского контроля в данной сфере таковы:</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активные поиски теневой занятости. При этом работодатели, работающие с частниками по ГПД, тоже рискуют – их будут подозревать в прикрытии фактических трудовых отношений;</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немедленная организация проверочных мероприятий при проявлении любых социальных протестов (митингов, забастовок, голодовок, пикетов) по поводу массовых увольнений, сокращении штата, невыплате зарплаты или даже ее снижения. Обо всех таких протестных акциях прокуроров обяжут немедля докладывать "наверх";</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обязательное изучение – при проверке фактов невыплаты зарплаты – бухгалтерских документов, а также банковских – как о зачислении средств на банковские счета, так и об их расходовании. Для этих проверок прокурорами будут дополнительно привлекаться специалисты МВД России, ФНС России и региональных органов власти;</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ревностный контроль за тем, чтобы в локальных нормативных актах, коллективных договорах, соглашениях был прописан порядок индексации зарплаты в связи с ростом потребительских цен на товары и услуги. Невыполнение именно этих положений коллективных договоров и локальных нормативных актов будет проверяться в первоочередном порядке;</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тщательное изучение муниципальных и региональных актов об оплате труда бюджетников. Уязвимые точки – неповышение зарплат, зарплаты ниже МРОТ ("федерального" или из регионального соглашения), отсутствие компенсационных и стимвыплат, а также несоблюдение установленного соотношения между зарплатами руководства и рядовых сотрудников;</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прокуроры начнут искать работодателей, уклоняющихся от подачи в органы Росстата сведений о просроченной задолженности по зарплате;</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о суммах задолженности по зарплате, которая была погашена в результате активной работы прокурора, прокуратура станет отчитываться "наверх";</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при прокурорах субъектов РФ будут созданы рабочие группы с участием профсоюзов, региональных властей, надзорных органов, правоохранителей и объединений работодателей. Эти рабочие группы будут "определять согласованные действия по защите трудовых прав граждан". Ключевые темы тут – своевременность зарплат, охрана труда, защита от безработицы и противодействие профсоюзам.</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Устраивать собственно прокурорские проверки по жалобам на небезопасные условия труда прокурорам будет необязательно – им рекомендовано перенаправлять эти материалы в ГИТ для рассмотрения либо проведения соответствующих проверок.</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В проекте Приказа есть еще любопытные моменты:</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 во-первых, предписано проверять в порядке Уголовно-процессуального кодекса сообщения о невыплате зарплаты, производственном травматизме, о вымогательстве труда, о рабском труде, о торговле людьми, о необоснованном отказе в приеме на работу или увольнении беременных, молодых матерей и </w:t>
      </w:r>
      <w:r>
        <w:rPr>
          <w:rFonts w:ascii="Times New Roman" w:hAnsi="Times New Roman" w:cs="Times New Roman"/>
          <w:sz w:val="26"/>
          <w:szCs w:val="26"/>
        </w:rPr>
        <w:lastRenderedPageBreak/>
        <w:t xml:space="preserve">предпенсионеров, а также о преднамеренном банкротстве работодателей, имеющих долги по зарплате, либо хищения принадлежащих им денежных средств и имущества. Любопытно в этом то, что, собственно, проверять такие сообщения в порядке УПК РФ нужно было всегда. Тем не менее, Генеральная прокуратура РФ решилась напомнить своим региональным сотрудникам об этом очевидном правовом алгоритме; </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 во-вторых, прокурорам предписано ориентировать территориальные органы ФСБ и МВД России на проведение ОРМ в целях выявления и пресечения преступлений в сфере трудовых отношений, а также криминальных банкротств коммерческих организаций, имеющих просроченную задолженность по заработной плате. </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4" w:anchor="ixzz5hnuYkhso" w:history="1">
        <w:r>
          <w:rPr>
            <w:rStyle w:val="a3"/>
            <w:rFonts w:ascii="Times New Roman" w:hAnsi="Times New Roman" w:cs="Times New Roman"/>
            <w:sz w:val="26"/>
            <w:szCs w:val="26"/>
          </w:rPr>
          <w:t>http://www.garant.ru/news/1261921/#ixzz5hnuYkhso</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Утвержден порядок лицензирования автобусных перевозок пассажиров</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4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В соответствии с постановлением Правительства РФ у соискателя лицензии обязательно наличие:</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лица, ответственного за обеспечение безопасности дорожного движения его работника, прошедшего в установленном порядке аттестацию на право заниматься соответствующей деятельностью (уточняется, что если соискателем лицензии является ИП, который намерен заниматься перевозками без привлечения других лиц, то он должен пройти такую аттестацию сам);</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лицензии на медицинскую деятельность в отношении работ по медицинским осмотрам (предрейсовым, послерейсовым) или заключенного договора об оказании услуг по проведению таких медицинских осмотров с юрлицом или ИП, имеющими лицензию на медицинскую деятельность в отношении таких работ;</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автобусов во владении (постановление Правительства России от 27 февраля 2019 г. № 195 "О лицензировании деятельности по перевозкам пассажиров и иных лиц автобусами").</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Также документом установлены и 13 обязательных для выполнения лицензиатами требований, в числе которых: осуществление технического обслуживания автобусов в сроки, предусмотренные документацией заводов-изготовителей этих транспортных средств; соблюдение особенностей режима рабочего времени и времени отдыха водителей; проведение их предрейсовых и послерейсовых медицинских осмотров. Установлено, что первая плановая проверка лицензиата проводится не ранее чем через один год и не позднее чем через два года со дня выдачи лицензии, причем вне зависимости от присвоенной его деятельности категории риска. В зависимости от последней проведение плановых проверок лицензиатов с учетом присвоенной категории риска осуществляется со следующей периодичностью: </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 для категории высокого риска – раз в год; </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 для категории значительного риска – раз в три года; </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для категории среднего риска – не чаще чем раз в пять лет.</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При этом для категории низкого риска плановые проверки проводиться не станут. Документ вступил в силу 1 марта, за исключением отдельных положений, а порядок лицензирования будет применяться до 1 января 2021 года. Положение о лицензировании перевозок пассажиров автомобильным транспортом, оборудованным для перевозок более восьми человек, признано утратившим силу.</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5" w:anchor="ixzz5ho0nJkEp" w:history="1">
        <w:r>
          <w:rPr>
            <w:rStyle w:val="a3"/>
            <w:rFonts w:ascii="Times New Roman" w:hAnsi="Times New Roman" w:cs="Times New Roman"/>
            <w:sz w:val="26"/>
            <w:szCs w:val="26"/>
          </w:rPr>
          <w:t>http://www.garant.ru/news/1261657/#ixzz5ho0nJkEp</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ВС РФ: в договоре о платных медуслугах должны быть ФИО и подпись пациента</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4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Медорганизация при оказании платных медуслуг потребителю обязана заключить с ним "полноценный" договор, который необходимо подписать обеим сторонам. Верховный Суд Российской Федерации признал законным данное требование Правил предоставления медицинскими организациями платных медицинских услуг (далее – Правила), рассматривая административный иск медицинской организации (Решение ВС РФ от 23 января 2019 г. № АКПИ18-1168).</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Истец указывал на то, что Гражданский кодекс не возбраняет заключать договоры иным способом. В частности, истцу удобно оформлять договор о предоставлении платной медуслуги посредством чека. Этот договор – чек печатается на чековой ленте ККТ, а пациенты акцептуют договор-чек путем его оплаты. Такой способ акцепта заменяет собой письменную подпись, и дополнительно подписывать договор-чек потребитель медицинских услуг по законодательству не обязан; это ускоряет время обслуживания пациентов и сокращает очереди на получение медицинских услуг.</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Это способ заключения договора не был одобрен Росздравнадзором, который наказал медорганизацию за нарушение лицензионных требований (на первый раз – предупреждением), арбитражные суды поддержали позицию ведомства и наказание не отменили. Предложенный способ заключения договора хоть и не противоречит гражданскому законодательству, однако не освобождает медорганизацию от соблюдения Правил.</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Истец полагал, что спорный пункт Правил необходимо признать недействующим, поскольку он нарушает принцип свободы ведения экономической деятельности и ст. 438 ГК РФ (акцепт).</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Однако ВС РФ не удовлетворил административный иск:</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Правительство РФ вправе принимать постановления, содержащие нормы гражданского права (п. 4 ст. 3 ГК РФ), а договор оказания платных медуслуг является публичным договором;</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Правительство РФ правомерно издало Правила, определяющие порядок и условия предоставления медицинскими организациями гражданам платных медицинских услуг на основании письменного договора;</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исполнителем медуслуг является медорганизация, а согласно п. 1 ст. 161 ГК РФ сделки юридических лиц между собой и с гражданами должны совершаться в простой письменной форме. То есть заключаться путем составления одного документа, подписанного сторонами, а также путем обмена письмами и иными документами, в том числе электронными, передаваемыми по каналам связи, позволяющими достоверно установить, что документ исходит от стороны по договору;</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стало быть, спорное требование об указании в договоре ФИО заказчика и его подписи соответствует гражданскому законодательству и к тому же учитывает специфику отношений в сфере охраны здоровья;</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что же касается противоречия ст. 438 ГК РФ, о котором заявил истец, то согласно п. 3 этой статьи совершение лицом, получившим оферту, действий по выполнению указанных в ней условий (предоставление услуг, уплата денег и т. п.) считается акцептом, если иное не предусмотрено законом и иными правовыми актами.</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ГАРАНТ.РУ: </w:t>
      </w:r>
      <w:hyperlink r:id="rId6" w:anchor="ixzz5hofAAsgM" w:history="1">
        <w:r>
          <w:rPr>
            <w:rStyle w:val="a3"/>
            <w:rFonts w:ascii="Times New Roman" w:hAnsi="Times New Roman" w:cs="Times New Roman"/>
            <w:sz w:val="26"/>
            <w:szCs w:val="26"/>
          </w:rPr>
          <w:t>http://www.garant.ru/news/1261924/#ixzz5hofAAsgM</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Правительство РФ предлагает ограничить регионы в принятии решений по тарифам на электроэнергию</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5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Правительство РФ считает необходимым лишить субъекты Федерации права устанавливать тарифы по передаче электроэнергии для конечных потребителей в размере большем, чем определены кабмином в прогнозе социально-экономического развития. Предлагается ввести правило, в соответствии с которым если региональный орган исполнительной власти установит такие тарифы выше максимального или ниже минимального уровня, либо не приведет их в соответствие с ними, то применению будут подлежать тарифы, установленные ФАС России. В этих целях предлагается признать абз. 1 п. 7 ст. 23.1 Федерального закона от 26 марта 2003 г. № 35-ФЗ "Об электроэнергетике" утратившим силу, добавив вместо него новый абз. 31.</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7" w:anchor="ixzz5hoavRyC6" w:history="1">
        <w:r>
          <w:rPr>
            <w:rStyle w:val="a3"/>
            <w:rFonts w:ascii="Times New Roman" w:hAnsi="Times New Roman" w:cs="Times New Roman"/>
            <w:sz w:val="26"/>
            <w:szCs w:val="26"/>
          </w:rPr>
          <w:t>http://www.garant.ru/news/1262118/#ixzz5hoavRyC6</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ВС РФ разрешил ИП на УСН при расчете страховых взносов на ОПС "за себя" уменьшить доходы на сумму расходов</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5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Соответствующий вывод содержится в Определении Верховного Суда Российской Федерации от 19 февраля 2019 г. № 306-КГ18-25467. В данном случае ИП, применяющий УСН с объектом налогообложения "доходы минус расходы" без привлечения наемных работников, уплачивал в течение нескольких лет за себя страховые взносы на обязательное пенсионное страхование, исчисленные по ставке 1% с доходов, превышающих 300 тыс. руб. за год без учета расходов (п. 1 ст. 430 Налогового кодекса). В связи с этим он обратился в ПФР с заявлением о возврате излишне уплаченных взносов. Так как требования ИП не были удовлетворены, он обратился в суд. При этом ВС РФ и нижестоящие суды встали на сторону ИП.</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8" w:anchor="ixzz5hnzrZMp8" w:history="1">
        <w:r>
          <w:rPr>
            <w:rStyle w:val="a3"/>
            <w:rFonts w:ascii="Times New Roman" w:hAnsi="Times New Roman" w:cs="Times New Roman"/>
            <w:sz w:val="26"/>
            <w:szCs w:val="26"/>
          </w:rPr>
          <w:t>http://www.garant.ru/news/1262113/#ixzz5hnzrZMp8</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Банк России планирует ужесточить наказание за противозаконную деятельность МФО и коллекторов</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5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Об этом сообщила Председатель Банка России Эльвира Набиуллина на встрече с Президентом РФ Владимиром Путиным. По ее словам, в целях усиления борьбы с нелегальными кредиторами регулятор рассматривает два варианта: ужесточение административной ответственности либо введение уголовной. Соответствующая информация размещена на официальном сайте Президента РФ. Сейчас за незаконное осуществление лицом, не включенным в государственный реестр юрлиц, осуществляющих деятельность по возврату просроченной задолженности в качестве основного вида деятельности, действий, которые могут осуществлять только включенные в такой реестр юрлица, для граждан установлен административный штраф в размере от 50 тыс. до 500 тыс. руб., для должностных лиц – от 100 тыс. до 1 млн руб. или дисквалификация на срок от шести месяцев до одного года; для юрлиц – от 200 тыс. до 2 млн руб. (ч. 4 ст. 14.57 КоАП).</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Также Председатель Банка России отметила, что не видит препятствий для введения "ипотечных каникул", поскольку банки ничего не потеряют, ведь общая сумма </w:t>
      </w:r>
      <w:r>
        <w:rPr>
          <w:rFonts w:ascii="Times New Roman" w:hAnsi="Times New Roman" w:cs="Times New Roman"/>
          <w:sz w:val="26"/>
          <w:szCs w:val="26"/>
        </w:rPr>
        <w:lastRenderedPageBreak/>
        <w:t>кредита и ставки останутся неизменными. Отметим, что соответствующий законопроект был внесен в Госдуму на прошлой неделе, и в случае его принятия заемщики, попавшие в трудную жизненную ситуацию, смогут обращаться к кредитору с требованием о предоставлении отсрочки на срок до шести месяцев.</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9" w:anchor="ixzz5hoeJsVdZ" w:history="1">
        <w:r>
          <w:rPr>
            <w:rStyle w:val="a3"/>
            <w:rFonts w:ascii="Times New Roman" w:hAnsi="Times New Roman" w:cs="Times New Roman"/>
            <w:sz w:val="26"/>
            <w:szCs w:val="26"/>
          </w:rPr>
          <w:t>http://www.garant.ru/news/1262074/#ixzz5hoeJsVdZ</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Налоговый агент обязан удержать и перечислить НДФЛ независимо от источника выплаты доходов</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5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Соответствующий вывод содержится в постановлении Арбитражного суда Восточно-Сибирского округа от 17 декабря 2018 г. № Ф02-5726/18 по делу № А10-3664/2017. Общество посчитало, что НДФЛ можно не удерживать, если источником выплаты зарплаты был учредитель юрлица, который предоставил обществу финансовую помощь в размере 40 млн руб. по соглашению в целях пополнения внеоборотных активов и также для выплаты зарплаты сотрудникам. Юрлицо не сообщило налоговому органу о невозможности удержать налог (п. 5 ст. 226 Налогового кодекса). Суд установил, что учредитель перечислил денежные средства на лицевые счета работников в размере, указанном обществом в качестве задолженности по зарплате.</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Суды трех инстанций отклонили довод организации о том, что денежные средства не находились в ее распоряжении, так как деньги были перечислены в качестве зарплаты, обязанность по выплате которой лежит на обществе как на работодателе (ст. 22 Трудового кодекса). Налоговый агент нарушил требования п. 6 ст. 226 НК РФ, согласно которым он должен перечислять суммы исчисленного и удержанного НДФЛ не позднее дня, следующего за днем выплаты физлицу дохода.</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По результатам рассмотрения дела кассационный суд оставил решение суда первой инстанции и постановление суда апелляционной инстанции в силе, а кассационную жалобу налогоплательщика – без удовлетворения. </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0" w:anchor="ixzz5hoUDTR4Y" w:history="1">
        <w:r>
          <w:rPr>
            <w:rStyle w:val="a3"/>
            <w:rFonts w:ascii="Times New Roman" w:hAnsi="Times New Roman" w:cs="Times New Roman"/>
            <w:sz w:val="26"/>
            <w:szCs w:val="26"/>
          </w:rPr>
          <w:t>http://www.garant.ru/news/1262210/#ixzz5hoUDTR4Y</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ВС РФ подготовил разъяснения по рассмотрению дел о банкротстве при отсутствии у должника имущества для покрытия судебных расходов</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7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Президиум Верховного Суда Российской Федерации подготовил ответы на два вопроса, посвященных этой теме. Так, первый из них заключался в том, как следует поступить судье арбитражного суда в случае, когда к заявлению уполномоченного органа о признании юрлица-должника банкротом не приложены документы, обосновывающие наличие у него имущества, за счет которого могут быть покрыты расходы по делу о банкротстве, либо вероятность обнаружения такого имущества. По мнению ВС РФ, такие заявления следует оставлять без движения, а при непредставлении соответствующих доказательств в установленный судом срок – возвращать (ст. 44 Федерального закона от 26 октября 2002 г. № 127-ФЗ "О несостоятельности (банкротстве)").</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Определен также перечень документов, свидетельствующих об отсутствии средств, достаточных для возмещения расходов на проведение процедур банкротства, в их </w:t>
      </w:r>
      <w:r>
        <w:rPr>
          <w:rFonts w:ascii="Times New Roman" w:hAnsi="Times New Roman" w:cs="Times New Roman"/>
          <w:sz w:val="26"/>
          <w:szCs w:val="26"/>
        </w:rPr>
        <w:lastRenderedPageBreak/>
        <w:t>числе: справка налогового органа об отсутствии у него сведений об имуществе должника, а также выписка по операциям на счетах, по вкладам (депозитам) организаций в банках. Если об отсутствии средств для покрытия расходов по делу выяснится после принятия заявления, суд должен прекращать производство (Отдельные вопросы, связанные с применением Закона о банкротстве (утв. Президиумом ВС РФ от 6 марта 2019 г.).</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Суд разъяснил и последствия возвращения уполномоченному органу заявления о признании организации-должника банкротом из-за отсутствия указанных средств. В этом случае, а также при прекращении производства недоимки и долг по пеням и штрафам признаются безнадежными к взысканию. Уполномоченный орган впоследствии вправе заявить о привлечении лица, контролирующего должника, к ответственности по списанным обязательствам. Помимо этого ВС РФ обращает внимание, что суд вправе пересмотреть определение о возврате заявления или прекращении производства по делу, если у должника впоследствии обнаружится имущество, скрываемое им ранее.</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Ранее Конституционный Суд Российской Федерации пришел к выводу, что руководители юрлиц-банкротов не обязаны оплачивать деятельность арбитражных управляющих, если их вина не доказана. Речь шла о случае, когда банкротство было инициировано заявлением налоговой инспекции, а из-за недостаточности имущества должника арбитражный управляющий взыскал вознаграждение с ФНС России, а та, в свою очередь, получила их с бывшего директора юрлица. Причем вина последнего в банкротстве организации не была доказана.</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1" w:anchor="ixzz5ho3YAVOu" w:history="1">
        <w:r>
          <w:rPr>
            <w:rStyle w:val="a3"/>
            <w:rFonts w:ascii="Times New Roman" w:hAnsi="Times New Roman" w:cs="Times New Roman"/>
            <w:sz w:val="26"/>
            <w:szCs w:val="26"/>
          </w:rPr>
          <w:t>http://www.garant.ru/news/1262523/#ixzz5ho3YAVOu</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Уведомление о завершении сноса объекта – основание для прекращения начисления налога на имущество физлиц</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7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Ранее ФНС России разъясняла порядок прекращения исчисления налога на имущество физлиц в связи с гибелью или уничтожением недвижимости (письмо ФНС России от 14 ноября 2018 г. № БС-4-21/22148@). Дополнительно налоговая служба сообщает, что Минстроем России  утверждена форма уведомления о завершении сноса объекта капстроительства (письмо ФНС России от 26 февраля 2019 г. № БС-4-21/3377@ "Об основаниях прекращения исчисления налога на имущество физических лиц в случае сноса объекта налогообложения").</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Разъяснен порядок его направления в уполномоченные органы и размещения в информационной системе обеспечения градостроительной деятельности (ИСОГД). Уведомление подается застройщиком или техническим заказчиком не позднее 7 рабочих дней после завершения сноса объекта капитального строительства в орган местного самоуправления. Орган местного самоуправления, в который поступило уведомление, в течение 7 рабочих дней обеспечивает его размещение в ИСОГД и уведомляет об этом орган регионального государственного строительного надзора.</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ФНС России рекомендует учитывать, что размещение уведомления в ИСОГД может рассматриваться как основание для прекращения исчисления налога на имущество физлиц.</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2" w:anchor="ixzz5ho68DSBN" w:history="1">
        <w:r>
          <w:rPr>
            <w:rStyle w:val="a3"/>
            <w:rFonts w:ascii="Times New Roman" w:hAnsi="Times New Roman" w:cs="Times New Roman"/>
            <w:sz w:val="26"/>
            <w:szCs w:val="26"/>
          </w:rPr>
          <w:t>http://www.garant.ru/news/1262516/#ixzz5ho68DSBN</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lastRenderedPageBreak/>
        <w:t>Не исключено, что МФО смогут принимать и выдавать деньги только в помещениях с видеонаблюдением и охранной сигнализацией</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7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Законодательное Собрание Красноярского края выступило с инициативой установить правило, в соответствии с которым места хранения, выдачи, приема денежных средств МФО должны располагаться в объектах капитального строительства. Для них обязательным условием может стать также регистрация в установленном порядке. Согласно законопроекту помещения будут оборудоваться системой видеонаблюдения, охранной сигнализацией и техникой для проверки подлинности купюр. Причем местам хранения, выдачи и приема денежных средств необходимо будет соответствовать и требованиям, установленным нормативными актами Банка России. В случае принятия закон вступит в силу по истечении 90 дней после дня его официального опубликования.</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Действующий порядок ведения кассовых операций и правил хранения, перевозки и инкассации банкнот и монет в кредитных организациях не распространяется на МФО. В результате чего, как отмечается в пояснительной записке, уровень защищенности денежных средств в последних значительно уступает уровню защищенности в банковских (кредитных) организациях.</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Эльвира Набиуллина сообщила о планах ужесточить наказание за противозаконную деятельность МФО и коллекторов. Предполагается усилить существующую административную ответственность либо ввести уголовную.</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3" w:anchor="ixzz5hoIzHEkI" w:history="1">
        <w:r>
          <w:rPr>
            <w:rStyle w:val="a3"/>
            <w:rFonts w:ascii="Times New Roman" w:hAnsi="Times New Roman" w:cs="Times New Roman"/>
            <w:sz w:val="26"/>
            <w:szCs w:val="26"/>
          </w:rPr>
          <w:t>http://www.garant.ru/news/1262501/#ixzz5hoIzHEkI</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целях налога на прибыль и НДС приобретение смартфонов для работников необходимо обосновать</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7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По результатам выездной налоговой проверки налоговая инспекция доначислила юрлицу налог на прибыль и НДС на том основании, что налогоплательщик неправомерно включил в состав расходов стоимость приобретенных смартфонов, которые не использовались в предпринимательской деятельности (решение Арбитражного суда Волгоградской области от 4 февраля 2019 г. по делу № А12-38082/2018). Суд первой инстанции согласился с налоговым органом в том, что общество не представило документы, доказывающие экономическую оправданность затрат. А также, что смартфоны применялись в операциях, признаваемых объектом налогообложения НДС. Таким образом, юрлицо нарушило п. 1 ст. 252, п. 2 ст. 171 Налогового кодекса).</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Организация не представила, например, документы, подтверждающие передачу смартфонов в пользование сотрудникам, договор о полной материальной ответственности работника, акт приема-передачи материальных ценностей работнику. Также не представлены документы, подтверждающие использование данных смартфонов в производственной деятельности организации. Суд отклонил доводы общества о том, что смартфоны использовались всеми сотрудниками, так как директор организации это не подтвердил.</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дела суд первой инстанции отказал в удовлетворении требований налогоплательщика. НДС по приобретенным подаркам можно принять к вычету, если они переданы работникам в качестве премий.</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4" w:anchor="ixzz5hoJvjik5" w:history="1">
        <w:r>
          <w:rPr>
            <w:rStyle w:val="a3"/>
            <w:rFonts w:ascii="Times New Roman" w:hAnsi="Times New Roman" w:cs="Times New Roman"/>
            <w:sz w:val="26"/>
            <w:szCs w:val="26"/>
          </w:rPr>
          <w:t>http://www.garant.ru/news/1262499/#ixzz5hoJvjik5</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lastRenderedPageBreak/>
        <w:t>За нарушения требований к организации безопасного содержания лифтов и эскалаторов будут наказывать</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7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С 17 марта в КоАП появится новая ст. 9.1.1., устанавливающая административную ответственность за нарушение требований к организации безопасного использования и содержания лифтов, подъемных платформ для инвалидов, пассажирских конвейеров и эскалаторов, за исключением эскалаторов в метро (Федеральный закон от 6 марта 2019 г. № 23-ФЗ "О внесении изменений в Кодекс Российской Федерации об административных правонарушениях").</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За совершение указанного правонарушения введена санкция в виде административного штрафа в размере от 2 тыс. до 5 тыс. руб. для должностных лиц и от 20 тыс. до 40 тыс. руб. – для юрлиц. А если оно создаст угрозу причинения вреда жизни и здоровью граждан, возникновения аварии, то административный штраф для граждан составит от 3 тыс. до 5 тыс. руб., для должностных лиц – от 20 тыс. до 30 тыс. руб. или в качестве альтернативного варианта – дисквалификация на срок от одного года до 1,5 лет, а для юрлиц – от 300 тыс. до 350 тыс. руб. или в качестве альтернативы – административное приостановление деятельности на срок до 90 суток.</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5" w:anchor="ixzz5hoLoUwpi" w:history="1">
        <w:r>
          <w:rPr>
            <w:rStyle w:val="a3"/>
            <w:rFonts w:ascii="Times New Roman" w:hAnsi="Times New Roman" w:cs="Times New Roman"/>
            <w:sz w:val="26"/>
            <w:szCs w:val="26"/>
          </w:rPr>
          <w:t>http://www.garant.ru/news/1262415/#ixzz5hoLoUwpi</w:t>
        </w:r>
      </w:hyperlink>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Новый подход к применению КОСГУ при вывозе отходов с 2019 года</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7 марта 2019</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С 1 января 2019 года заработала новая система обращения с твердыми коммунальными отходами (ТКО), при которой их сбор, транспортирование, обработка, утилизация, обезвреживание и захоронение на территории региона должны обеспечиваться одним или несколькими региональными операторами по обращению с ТКО в соответствии со специальной программой (ст. 24.6 Федерального закона от 24 июня 1998 г. № 89-ФЗ "Об отходах производства и потребления"; далее – Закон об отходах производства и потребления).</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В зависимости от категории отходов учреждением могут быть заключены разные договоры – на отдельную услугу:</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по оказанию услуг по обращению с ТКО;</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по вывозу и утилизации отходов производства.</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Порядок заключения договоров на оказание услуг по обращению с твердыми коммунальными отходами, а также форма типового договора определены Правительством РФ (постановление Правительства РФ от 12 ноября 2016 г. № 1156).</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1. Как выглядит новый порядок обращения с отходами</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В регионе должен быть выбран и действовать региональный оператор по обращению с ТКО, а также утверждены единые тарифы на эту услугу. При таких условиях важно знать следующие особенности работы этой системы:</w:t>
      </w:r>
    </w:p>
    <w:p w:rsidR="00C51292" w:rsidRDefault="00C51292" w:rsidP="00C51292">
      <w:pPr>
        <w:jc w:val="both"/>
        <w:rPr>
          <w:rFonts w:ascii="Times New Roman" w:hAnsi="Times New Roman" w:cs="Times New Roman"/>
          <w:b/>
          <w:bCs/>
          <w:i/>
          <w:iCs/>
          <w:sz w:val="26"/>
          <w:szCs w:val="26"/>
        </w:rPr>
      </w:pPr>
      <w:r>
        <w:rPr>
          <w:rFonts w:ascii="Times New Roman" w:hAnsi="Times New Roman" w:cs="Times New Roman"/>
          <w:b/>
          <w:bCs/>
          <w:i/>
          <w:iCs/>
          <w:sz w:val="26"/>
          <w:szCs w:val="26"/>
        </w:rPr>
        <w:t>Вывоз твердых коммунальных отходов</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Договор заключаем только с региональным оператором по обращению с ТКО</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К этой категории отходов, в частности, относятся:</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отходы связанные с потреблением физическими лицами, например, пищевые отходы;</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lastRenderedPageBreak/>
        <w:t>- товары, утратившие свои потребительские свойства в процессе их использования физическими лицами в целях удовлетворения личных и бытовых нужд, например, остатки оберточной бумаги, одноразовая посуда, предметы личной гигиены;</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мусор от офисных и бытовых помещений организаций несортированный, кроме крупногабаритного;</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отходы от уборки помещений;</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мусор и смёт уличный.</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Подробный перечень отходов, которые относятся к ТКО, содержится в Федеральном классификационном каталоге отходов  – это все отходы из группы 7 30 000 00 00 0.</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Обращение с ТКО стало коммунальной услугой – наряду с отоплением, водо- и электроснабжением, соответственно, расходы по нему учитываются по подстатье 223 КОСГУ.</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В соответствии с Законом об отходах производства и потребления плата за НВОС при размещении ТКО организациями, у которых образуются отходы, не исчисляется и не уплачивается – плательщиком является региональный оператор.</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b/>
          <w:bCs/>
          <w:i/>
          <w:iCs/>
          <w:sz w:val="26"/>
          <w:szCs w:val="26"/>
        </w:rPr>
      </w:pPr>
      <w:r>
        <w:rPr>
          <w:rFonts w:ascii="Times New Roman" w:hAnsi="Times New Roman" w:cs="Times New Roman"/>
          <w:b/>
          <w:bCs/>
          <w:i/>
          <w:iCs/>
          <w:sz w:val="26"/>
          <w:szCs w:val="26"/>
        </w:rPr>
        <w:t>Вывоз отходов производства</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Договор можно заключить как с региональным оператором, так и с другими организациями, имеющими соответствующие лицензии.</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К отходам производства относят, в частности:</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вещества или предметы, которые образованы в процессе производства, выполнения работ, оказания услуг, например, отходы строительства и ремонта, отходы от обслуживания и ремонта оборудования, отходы от производства пищевых продуктов и т. д.;</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отходы от использования товаров, то есть образовавшиеся после утраты товарами, упаковкой товаров полностью или частично своих потребительских свойств;</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упаковка, приобретаемых материальных запасов, тара, ветошь, просроченные материальные запасы, списанное оборудование;</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медицинские отходы, поименованные в СанПиН 2.1.7.2790-10;</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радиационно-опасные отходы, указанные в ст. 3 Федерального закона от 21 ноября 1995 г. № 170-ФЗ "Об использовании атомной энергии".</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 xml:space="preserve">За хранение, захоронение отходов производства и потребления взимается плата за НВОС, подстатья 225 КОСГУ. В данном случае плату вносит при размещении отходов тот, кто эти отходы произвел. </w:t>
      </w:r>
    </w:p>
    <w:p w:rsidR="00C51292" w:rsidRDefault="00C51292" w:rsidP="00C51292">
      <w:pPr>
        <w:jc w:val="both"/>
        <w:rPr>
          <w:rFonts w:ascii="Times New Roman" w:hAnsi="Times New Roman" w:cs="Times New Roman"/>
          <w:sz w:val="26"/>
          <w:szCs w:val="26"/>
        </w:rPr>
      </w:pP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2. В субъекте РФ не определен региональный оператор и не установлены единые тарифы.</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Однако на сегодняшний день не все регионы работают по новой системе. В частности, речь идет:</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о городах федерального значения – им была предоставлено право на отсрочку;</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о регионах, где оператор не определен по причине досрочного прекращения деятельности или если конкурсный отбор не состоялся;</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о субъектах РФ, где региональные власти до 2016 года заключили контракты на вывоз отходов на срок более 10 лет.</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t>При таких условиях плата за вывоз ТКО входит в состав расходов по содержанию помещений, соответственно, такие затраты учитываются по коду КОСГУ 225.</w:t>
      </w:r>
    </w:p>
    <w:p w:rsidR="00C51292" w:rsidRDefault="00C51292" w:rsidP="00C51292">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ГАРАНТ.РУ: </w:t>
      </w:r>
      <w:hyperlink r:id="rId16" w:anchor="ixzz5hoNKAXuf" w:history="1">
        <w:r>
          <w:rPr>
            <w:rStyle w:val="a3"/>
            <w:rFonts w:ascii="Times New Roman" w:hAnsi="Times New Roman" w:cs="Times New Roman"/>
            <w:sz w:val="26"/>
            <w:szCs w:val="26"/>
          </w:rPr>
          <w:t>http://www.garant.ru/news/1262403/#ixzz5hoNKAXuf</w:t>
        </w:r>
      </w:hyperlink>
    </w:p>
    <w:p w:rsidR="006B7054" w:rsidRDefault="006B7054">
      <w:bookmarkStart w:id="0" w:name="_GoBack"/>
      <w:bookmarkEnd w:id="0"/>
    </w:p>
    <w:sectPr w:rsidR="006B7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99"/>
    <w:rsid w:val="006B7054"/>
    <w:rsid w:val="009A4099"/>
    <w:rsid w:val="00C5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8F9F4-5B80-4494-97F7-9BB3EA13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292"/>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2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62113/" TargetMode="External"/><Relationship Id="rId13" Type="http://schemas.openxmlformats.org/officeDocument/2006/relationships/hyperlink" Target="http://www.garant.ru/news/126250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ant.ru/news/1262118/" TargetMode="External"/><Relationship Id="rId12" Type="http://schemas.openxmlformats.org/officeDocument/2006/relationships/hyperlink" Target="http://www.garant.ru/news/126251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rant.ru/news/1262403/" TargetMode="External"/><Relationship Id="rId1" Type="http://schemas.openxmlformats.org/officeDocument/2006/relationships/styles" Target="styles.xml"/><Relationship Id="rId6" Type="http://schemas.openxmlformats.org/officeDocument/2006/relationships/hyperlink" Target="http://www.garant.ru/news/1261924/" TargetMode="External"/><Relationship Id="rId11" Type="http://schemas.openxmlformats.org/officeDocument/2006/relationships/hyperlink" Target="http://www.garant.ru/news/1262523/" TargetMode="External"/><Relationship Id="rId5" Type="http://schemas.openxmlformats.org/officeDocument/2006/relationships/hyperlink" Target="http://www.garant.ru/news/1261657/" TargetMode="External"/><Relationship Id="rId15" Type="http://schemas.openxmlformats.org/officeDocument/2006/relationships/hyperlink" Target="http://www.garant.ru/news/1262415/" TargetMode="External"/><Relationship Id="rId10" Type="http://schemas.openxmlformats.org/officeDocument/2006/relationships/hyperlink" Target="http://www.garant.ru/news/1262210/" TargetMode="External"/><Relationship Id="rId4" Type="http://schemas.openxmlformats.org/officeDocument/2006/relationships/hyperlink" Target="http://www.garant.ru/news/1261921/" TargetMode="External"/><Relationship Id="rId9" Type="http://schemas.openxmlformats.org/officeDocument/2006/relationships/hyperlink" Target="http://www.garant.ru/news/1262074/" TargetMode="External"/><Relationship Id="rId14" Type="http://schemas.openxmlformats.org/officeDocument/2006/relationships/hyperlink" Target="http://www.garant.ru/news/1262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4049</Words>
  <Characters>23082</Characters>
  <Application>Microsoft Office Word</Application>
  <DocSecurity>0</DocSecurity>
  <Lines>192</Lines>
  <Paragraphs>54</Paragraphs>
  <ScaleCrop>false</ScaleCrop>
  <Company/>
  <LinksUpToDate>false</LinksUpToDate>
  <CharactersWithSpaces>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2019-03-11T06:12:00Z</dcterms:created>
  <dcterms:modified xsi:type="dcterms:W3CDTF">2019-03-11T06:12:00Z</dcterms:modified>
</cp:coreProperties>
</file>