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F2" w:rsidRPr="00C059F2" w:rsidRDefault="00C059F2" w:rsidP="00C059F2">
      <w:pPr>
        <w:jc w:val="both"/>
        <w:rPr>
          <w:b/>
          <w:bCs/>
          <w:u w:val="single"/>
        </w:rPr>
      </w:pPr>
      <w:r w:rsidRPr="00C059F2">
        <w:rPr>
          <w:b/>
          <w:bCs/>
          <w:u w:val="single"/>
        </w:rPr>
        <w:t>Роспотребнадзор подготовил санитарные чек-листы для садиков, детских палаточных лагерей и химчисток</w:t>
      </w:r>
    </w:p>
    <w:p w:rsidR="00C059F2" w:rsidRPr="00C059F2" w:rsidRDefault="00C059F2" w:rsidP="00C059F2">
      <w:pPr>
        <w:jc w:val="both"/>
      </w:pPr>
      <w:r w:rsidRPr="00C059F2">
        <w:t>24 сентября 2018</w:t>
      </w:r>
    </w:p>
    <w:p w:rsidR="00C059F2" w:rsidRPr="00C059F2" w:rsidRDefault="00C059F2" w:rsidP="00C059F2">
      <w:pPr>
        <w:jc w:val="both"/>
      </w:pPr>
      <w:r w:rsidRPr="00C059F2">
        <w:t>Роспотребнадзор разместил на федеральном портале проектов нормативных правовых актов проекты чек-листов для плановых проверок (в рамках санэпиднадзора):</w:t>
      </w:r>
    </w:p>
    <w:p w:rsidR="00C059F2" w:rsidRPr="00C059F2" w:rsidRDefault="00C059F2" w:rsidP="00C059F2">
      <w:pPr>
        <w:jc w:val="both"/>
      </w:pPr>
      <w:r w:rsidRPr="00C059F2">
        <w:t>организаций химической чистки изделий,</w:t>
      </w:r>
    </w:p>
    <w:p w:rsidR="00C059F2" w:rsidRPr="00C059F2" w:rsidRDefault="00C059F2" w:rsidP="00C059F2">
      <w:pPr>
        <w:jc w:val="both"/>
      </w:pPr>
      <w:r w:rsidRPr="00C059F2">
        <w:t>дошкольных образовательных организаций,</w:t>
      </w:r>
    </w:p>
    <w:p w:rsidR="00C059F2" w:rsidRPr="00C059F2" w:rsidRDefault="00C059F2" w:rsidP="00C059F2">
      <w:pPr>
        <w:jc w:val="both"/>
      </w:pPr>
      <w:r w:rsidRPr="00C059F2">
        <w:t>детских лагерей палаточного типа.</w:t>
      </w:r>
    </w:p>
    <w:p w:rsidR="00C059F2" w:rsidRPr="00C059F2" w:rsidRDefault="00C059F2" w:rsidP="00C059F2">
      <w:pPr>
        <w:jc w:val="both"/>
      </w:pPr>
      <w:r w:rsidRPr="00C059F2">
        <w:t>Роспотребнадзор обязан использовать чек-листы при проведении плановых санитарных проверок всех юридических лиц и предпринимателей уже с 1 июля текущего года. А по мнению Генеральной прокуратуры РФ, если такая обязанность уже есть, а утвержденного чек-листа еще нет, то плановую проверку вообще проводить нельзя.</w:t>
      </w:r>
    </w:p>
    <w:p w:rsidR="00C059F2" w:rsidRPr="00C059F2" w:rsidRDefault="00C059F2" w:rsidP="00C059F2">
      <w:pPr>
        <w:jc w:val="both"/>
      </w:pPr>
      <w:r w:rsidRPr="00C059F2">
        <w:t xml:space="preserve">ГАРАНТ.РУ: </w:t>
      </w:r>
      <w:hyperlink r:id="rId5" w:anchor="ixzz5Sd96FW1i" w:history="1">
        <w:r w:rsidRPr="00C059F2">
          <w:rPr>
            <w:rStyle w:val="a3"/>
          </w:rPr>
          <w:t>http://www.garant.ru/news/1219667/#ixzz5Sd96FW1i</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Утверждены типовые уставы, на основании которых могут действовать ООО</w:t>
      </w:r>
    </w:p>
    <w:p w:rsidR="00C059F2" w:rsidRPr="00C059F2" w:rsidRDefault="00C059F2" w:rsidP="00C059F2">
      <w:pPr>
        <w:jc w:val="both"/>
      </w:pPr>
      <w:r w:rsidRPr="00C059F2">
        <w:t>24 сентября 2018</w:t>
      </w:r>
    </w:p>
    <w:p w:rsidR="00C059F2" w:rsidRPr="00C059F2" w:rsidRDefault="00C059F2" w:rsidP="00C059F2">
      <w:pPr>
        <w:jc w:val="both"/>
      </w:pPr>
      <w:r w:rsidRPr="00C059F2">
        <w:t>Минэкономразвития России установило 36 видов таких типовых уставов, которые отличаются, в частности, по следующим параметрам:</w:t>
      </w:r>
    </w:p>
    <w:p w:rsidR="00C059F2" w:rsidRPr="00C059F2" w:rsidRDefault="00C059F2" w:rsidP="00C059F2">
      <w:pPr>
        <w:jc w:val="both"/>
      </w:pPr>
      <w:r w:rsidRPr="00C059F2">
        <w:t>- возможность выхода участника из общества;</w:t>
      </w:r>
    </w:p>
    <w:p w:rsidR="00C059F2" w:rsidRPr="00C059F2" w:rsidRDefault="00C059F2" w:rsidP="00C059F2">
      <w:pPr>
        <w:jc w:val="both"/>
      </w:pPr>
      <w:r w:rsidRPr="00C059F2">
        <w:t>- наличие у общества преимущественного права покупки доли;</w:t>
      </w:r>
    </w:p>
    <w:p w:rsidR="00C059F2" w:rsidRPr="00C059F2" w:rsidRDefault="00C059F2" w:rsidP="00C059F2">
      <w:pPr>
        <w:jc w:val="both"/>
      </w:pPr>
      <w:r w:rsidRPr="00C059F2">
        <w:t>- необходимость получения согласия на отчуждение доли другим участникам и т. д. (приказ Минэкономразвития России от 1 августа 2018 г. № 411 "Об утверждении типовых уставов, на основании которых могут действовать общества с ограниченной ответственностью").</w:t>
      </w:r>
    </w:p>
    <w:p w:rsidR="00C059F2" w:rsidRPr="00C059F2" w:rsidRDefault="00C059F2" w:rsidP="00C059F2">
      <w:pPr>
        <w:jc w:val="both"/>
      </w:pPr>
      <w:r w:rsidRPr="00C059F2">
        <w:t>Документ вступит в силу 25 июня 2019 года.</w:t>
      </w:r>
    </w:p>
    <w:p w:rsidR="00C059F2" w:rsidRPr="00C059F2" w:rsidRDefault="00C059F2" w:rsidP="00C059F2">
      <w:pPr>
        <w:jc w:val="both"/>
      </w:pPr>
      <w:r w:rsidRPr="00C059F2">
        <w:t xml:space="preserve">До настоящего момента типовая форма устава ООО не была установлена. Напомним, что устав является единственным учредительным документом ООО (п. 1 ст. 52 Гражданского кодекса, п. 1 ст. 12 Федерального закона от 8 февраля 1998 № 14-ФЗ "Об обществах с ограниченной ответственностью", далее – Закон об ООО). </w:t>
      </w:r>
    </w:p>
    <w:p w:rsidR="00C059F2" w:rsidRPr="00C059F2" w:rsidRDefault="00C059F2" w:rsidP="00C059F2">
      <w:pPr>
        <w:jc w:val="both"/>
      </w:pPr>
      <w:r w:rsidRPr="00C059F2">
        <w:t>После вступления в силу документа ООО смогут действовать как на основании одного из типовых уставов, так и на основании устава, утвержденного его учредителями.</w:t>
      </w:r>
    </w:p>
    <w:p w:rsidR="00C059F2" w:rsidRPr="00C059F2" w:rsidRDefault="00C059F2" w:rsidP="00C059F2">
      <w:pPr>
        <w:jc w:val="both"/>
      </w:pPr>
      <w:r w:rsidRPr="00C059F2">
        <w:t xml:space="preserve">ГАРАНТ.РУ: </w:t>
      </w:r>
      <w:hyperlink r:id="rId6" w:anchor="ixzz5SdK6U4it" w:history="1">
        <w:r w:rsidRPr="00C059F2">
          <w:rPr>
            <w:rStyle w:val="a3"/>
          </w:rPr>
          <w:t>http://www.garant.ru/news/1220160/#ixzz5SdK6U4it</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Не исключено, что страховщики будут возмещать пострадавшим в ДТП ущерб даже при отсутствии у виновников полиса ОСАГО</w:t>
      </w:r>
    </w:p>
    <w:p w:rsidR="00C059F2" w:rsidRPr="00C059F2" w:rsidRDefault="00C059F2" w:rsidP="00C059F2">
      <w:pPr>
        <w:jc w:val="both"/>
      </w:pPr>
      <w:r w:rsidRPr="00C059F2">
        <w:t>24 сентября 2018</w:t>
      </w:r>
    </w:p>
    <w:p w:rsidR="00C059F2" w:rsidRPr="00C059F2" w:rsidRDefault="00C059F2" w:rsidP="00C059F2">
      <w:pPr>
        <w:jc w:val="both"/>
      </w:pPr>
      <w:r w:rsidRPr="00C059F2">
        <w:t>Группа депутатов Госдумы во главе с Игорем Лебедевым предлагает установить правило, согласно которому владельцы транспортных средств, риск ответственности которых не застрахован в форме обязательного или добровольного страхования, виновные в ДТП, в порядке регресса будут возмещать вред, причиненный жизни, здоровью или имуществу потерпевших, по общему правилу. В этих целях планируется обязать страховщиков потерпевших возмещать вред, причиненный имуществу пострадавшего, застраховавшего свою гражданскую ответственность, вне зависимости от наличия действующего страхового полиса у виновного лица.</w:t>
      </w:r>
    </w:p>
    <w:p w:rsidR="00C059F2" w:rsidRPr="00C059F2" w:rsidRDefault="00C059F2" w:rsidP="00C059F2">
      <w:pPr>
        <w:jc w:val="both"/>
      </w:pPr>
      <w:r w:rsidRPr="00C059F2">
        <w:t xml:space="preserve">Это позволит переложить бремя взыскания ущерба с пострадавшего на его страховую компанию, что будет справедливым, поскольку потерпевший действовал добросовестно и заключил договор страхования. В настоящий момент гражданин, которому причинен ущерб имущества в ДТП от недобросовестного виновника происшествия, вынужден для взыскания с виновника убытков самостоятельно собирать доказательства и нести судебные расходы. Как пояснил Верховный Суд Российской Федерации, если гражданская ответственность причинителя вреда не застрахована по договору обязательного страхования, страховое возмещение в порядке прямого возмещения ущерба не </w:t>
      </w:r>
      <w:r w:rsidRPr="00C059F2">
        <w:lastRenderedPageBreak/>
        <w:t>производится. В этом случае вред, причиненный имуществу потерпевших, возмещается владельцами транспортных средств в соответствии с гражданским законодательством.</w:t>
      </w:r>
    </w:p>
    <w:p w:rsidR="00C059F2" w:rsidRPr="00C059F2" w:rsidRDefault="00C059F2" w:rsidP="00C059F2">
      <w:pPr>
        <w:jc w:val="both"/>
      </w:pPr>
      <w:r w:rsidRPr="00C059F2">
        <w:t>В случае принятия закон вступит силу со дня его официального опубликования.</w:t>
      </w:r>
    </w:p>
    <w:p w:rsidR="00C059F2" w:rsidRPr="00C059F2" w:rsidRDefault="00C059F2" w:rsidP="00C059F2">
      <w:pPr>
        <w:jc w:val="both"/>
      </w:pPr>
      <w:r w:rsidRPr="00C059F2">
        <w:t xml:space="preserve">ГАРАНТ.РУ: </w:t>
      </w:r>
      <w:hyperlink r:id="rId7" w:anchor="ixzz5SdKlCfYF" w:history="1">
        <w:r w:rsidRPr="00C059F2">
          <w:rPr>
            <w:rStyle w:val="a3"/>
          </w:rPr>
          <w:t>http://www.garant.ru/news/1219981/#ixzz5SdKlCfYF</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Роструд подготовил новую отчетность о гражданах непенсионного и предпенсионного возраста</w:t>
      </w:r>
    </w:p>
    <w:p w:rsidR="00C059F2" w:rsidRPr="00C059F2" w:rsidRDefault="00C059F2" w:rsidP="00C059F2">
      <w:pPr>
        <w:jc w:val="both"/>
      </w:pPr>
      <w:r w:rsidRPr="00C059F2">
        <w:t>24 сентября 2018</w:t>
      </w:r>
    </w:p>
    <w:p w:rsidR="00C059F2" w:rsidRPr="00C059F2" w:rsidRDefault="00C059F2" w:rsidP="00C059F2">
      <w:pPr>
        <w:jc w:val="both"/>
      </w:pPr>
      <w:r w:rsidRPr="00C059F2">
        <w:t>Роструд просит власти субъектов РФ организовать проведение ежеквартального мониторинга сведений о работодателях и численности работников организаций, не являющихся пенсионерами, а также ежемесячного мониторинга реализации мер по содействию занятости граждан предпенсионного возраста (письмо Роструда от 25 июля 2018 г. № 858-ПР).</w:t>
      </w:r>
    </w:p>
    <w:p w:rsidR="00C059F2" w:rsidRPr="00C059F2" w:rsidRDefault="00C059F2" w:rsidP="00C059F2">
      <w:pPr>
        <w:jc w:val="both"/>
      </w:pPr>
      <w:r w:rsidRPr="00C059F2">
        <w:t>В частности, приведена форма сведений о численности работников – непенсионеров, которую надо будет заполнить данными уже на 1 октября и выслать в Роструд до 15 октября.</w:t>
      </w:r>
    </w:p>
    <w:p w:rsidR="00C059F2" w:rsidRPr="00C059F2" w:rsidRDefault="00C059F2" w:rsidP="00C059F2">
      <w:pPr>
        <w:jc w:val="both"/>
      </w:pPr>
      <w:r w:rsidRPr="00C059F2">
        <w:t xml:space="preserve">ГАРАНТ.РУ: </w:t>
      </w:r>
      <w:hyperlink r:id="rId8" w:anchor="ixzz5SdUa0L3k" w:history="1">
        <w:r w:rsidRPr="00C059F2">
          <w:rPr>
            <w:rStyle w:val="a3"/>
          </w:rPr>
          <w:t>http://www.garant.ru/news/1218725/#ixzz5SdUa0L3k</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Отчитаться по земельному налогу за 2018 год нужно будет по новой форме</w:t>
      </w:r>
    </w:p>
    <w:p w:rsidR="00C059F2" w:rsidRPr="00C059F2" w:rsidRDefault="00C059F2" w:rsidP="00C059F2">
      <w:pPr>
        <w:jc w:val="both"/>
      </w:pPr>
      <w:r w:rsidRPr="00C059F2">
        <w:t>24 сентября 2018</w:t>
      </w:r>
    </w:p>
    <w:p w:rsidR="00C059F2" w:rsidRPr="00C059F2" w:rsidRDefault="00C059F2" w:rsidP="00C059F2">
      <w:pPr>
        <w:jc w:val="both"/>
      </w:pPr>
      <w:r w:rsidRPr="00C059F2">
        <w:t>ФНС России утвердила новую редакцию формы декларации по земельному налогу, внесены изменения в ее формат и порядок заполнения. Приложение с кодами земельных участков изложено в новой редакции (приказ ФНС России от 30 августа 2018 г. № ММВ-7-21/509@ "О внесении изменений в приложения к приказу ФНС России от 10 мая 2017 г. № ММВ-7-21/347@").</w:t>
      </w:r>
    </w:p>
    <w:p w:rsidR="00C059F2" w:rsidRPr="00C059F2" w:rsidRDefault="00C059F2" w:rsidP="00C059F2">
      <w:pPr>
        <w:jc w:val="both"/>
      </w:pPr>
      <w:r w:rsidRPr="00C059F2">
        <w:t>В соответствии с утвержденными изменениями налогоплательщикам предоставлена возможность одновременного применения коэффициентов Кв и Ки при исчислении налога юрлицами в случае изменения кадастровой стоимости в течение налогового периода по причине уточнения качественных и количественных характеристик участка. Напомним, что коэффициент Кв применяется при исчислении земельного налога в случае владения земельным участком в течение неполного налогового периода, а Ки – в случае изменения кадастровой стоимости земельного участка из-за изменения его вида разрешенного использования, перевода из одной категории земель в другую и (или) изменения площади земельного участка.</w:t>
      </w:r>
    </w:p>
    <w:p w:rsidR="00C059F2" w:rsidRPr="00C059F2" w:rsidRDefault="00C059F2" w:rsidP="00C059F2">
      <w:pPr>
        <w:jc w:val="both"/>
      </w:pPr>
      <w:r w:rsidRPr="00C059F2">
        <w:t>Декларация дополнена новой строкой с кодом 245, в которой указывается сумма налоговой льготы в рублях. Она будет заполняться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Севастополя) налоговой льготы в виде снижения налоговой ставки в соответствии с п. 2 ст. 387 Налогового кодекса.</w:t>
      </w:r>
    </w:p>
    <w:p w:rsidR="00C059F2" w:rsidRPr="00C059F2" w:rsidRDefault="00C059F2" w:rsidP="00C059F2">
      <w:pPr>
        <w:jc w:val="both"/>
      </w:pPr>
      <w:r w:rsidRPr="00C059F2">
        <w:t>Приказ официально опубликован 21 сентября, вступает в силу по истечении двух месяцев со дня его официального опубликования – 22 ноября, но применяется начиная с представления декларации по земельному налогу за налоговый период 2018 года.</w:t>
      </w:r>
    </w:p>
    <w:p w:rsidR="00C059F2" w:rsidRPr="00C059F2" w:rsidRDefault="00C059F2" w:rsidP="00C059F2">
      <w:pPr>
        <w:jc w:val="both"/>
      </w:pPr>
      <w:r w:rsidRPr="00C059F2">
        <w:t xml:space="preserve">ГАРАНТ.РУ: </w:t>
      </w:r>
      <w:hyperlink r:id="rId9" w:anchor="ixzz5SdMI6MR5" w:history="1">
        <w:r w:rsidRPr="00C059F2">
          <w:rPr>
            <w:rStyle w:val="a3"/>
          </w:rPr>
          <w:t>http://www.garant.ru/news/1220152/#ixzz5SdMI6MR5</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С 1 октября порядок государственной регистрации юрлиц и ИП изменится</w:t>
      </w:r>
    </w:p>
    <w:p w:rsidR="00C059F2" w:rsidRPr="00C059F2" w:rsidRDefault="00C059F2" w:rsidP="00C059F2">
      <w:pPr>
        <w:jc w:val="both"/>
      </w:pPr>
      <w:r w:rsidRPr="00C059F2">
        <w:t>25 сентября 2018</w:t>
      </w:r>
    </w:p>
    <w:p w:rsidR="00C059F2" w:rsidRPr="00C059F2" w:rsidRDefault="00C059F2" w:rsidP="00C059F2">
      <w:pPr>
        <w:jc w:val="both"/>
      </w:pPr>
      <w:r w:rsidRPr="00C059F2">
        <w:t>1 октября 2018 года вступят в силу изменения в Федеральный закон от 8 августа 2001 г. № 129-ФЗ "О государственной регистрации юридических лиц и индивидуальных предпринимателей" (далее – Закон № 129-ФЗ).</w:t>
      </w:r>
    </w:p>
    <w:p w:rsidR="00C059F2" w:rsidRPr="00C059F2" w:rsidRDefault="00C059F2" w:rsidP="00C059F2">
      <w:pPr>
        <w:jc w:val="both"/>
      </w:pPr>
      <w:r w:rsidRPr="00C059F2">
        <w:t>Во-первых, расширится перечень оснований для отказа в госрегистрации. К ним будут отнесены также:</w:t>
      </w:r>
    </w:p>
    <w:p w:rsidR="00C059F2" w:rsidRPr="00C059F2" w:rsidRDefault="00C059F2" w:rsidP="00C059F2">
      <w:pPr>
        <w:jc w:val="both"/>
      </w:pPr>
      <w:r w:rsidRPr="00C059F2">
        <w:lastRenderedPageBreak/>
        <w:t xml:space="preserve">представление документов, оформленных с нарушением требований, установленных в п. 1.1 и абз. 1 п. 1.2 ст. 9 Закона № 129-ФЗ. </w:t>
      </w:r>
    </w:p>
    <w:p w:rsidR="00C059F2" w:rsidRPr="00C059F2" w:rsidRDefault="00C059F2" w:rsidP="00C059F2">
      <w:pPr>
        <w:jc w:val="both"/>
      </w:pPr>
      <w:r w:rsidRPr="00C059F2">
        <w:t>Во-вторых, заявитель, которому отказано в госрегистрации в связи с непредставлением необходимых документов либо в связи с представлением документов, оформленных с нарушением установленных требований, будет вправе после устранения недочетов в течение 3 месяцев со дня принятия решения об отказе (если оно не отменено) дополнительно однократно представить необходимые документы. Повторно уплачивать госпошлину при этом не потребуется. Также не обязательно будет повторно представлять документы, имеющиеся у регистрирующего органа в связи с принятием решения об отказе в государственной регистрации (Федеральный закон от 30 октября 2017 г. № 312-ФЗ).</w:t>
      </w:r>
    </w:p>
    <w:p w:rsidR="00C059F2" w:rsidRPr="00C059F2" w:rsidRDefault="00C059F2" w:rsidP="00C059F2">
      <w:pPr>
        <w:jc w:val="both"/>
      </w:pPr>
      <w:r w:rsidRPr="00C059F2">
        <w:t>Если документы в регистрирующий орган будут представлены в вышеуказанном порядке, поданная впоследствии жалоба на решение об отказе в государственной регистрации будет оставлена без рассмотрения, и повторно подать жалобу не получится.</w:t>
      </w:r>
    </w:p>
    <w:p w:rsidR="00C059F2" w:rsidRPr="00C059F2" w:rsidRDefault="00C059F2" w:rsidP="00C059F2">
      <w:pPr>
        <w:jc w:val="both"/>
      </w:pPr>
      <w:r w:rsidRPr="00C059F2">
        <w:t>Появится новый способ отслеживать информацию о предстоящих регистрационных действиях в отношении конкретного юридического лица или ИП.</w:t>
      </w:r>
    </w:p>
    <w:p w:rsidR="00C059F2" w:rsidRPr="00C059F2" w:rsidRDefault="00C059F2" w:rsidP="00C059F2">
      <w:pPr>
        <w:jc w:val="both"/>
      </w:pPr>
      <w:r w:rsidRPr="00C059F2">
        <w:t>После вступления поправок в силу, в п. 3 ст. 9 Закона № 129-ФЗ предусмотрено, что любое лицо вправе разместить на официальном сайте регистрирующего органа запрос о направлении по указанному в нем адресу электронной почты информации о факте предоставления в регистрирующий орган (после размещения такого запроса) документов в отношении указанного в этом запросе юрлица, ИП. Регистрирующий орган направит указанную информацию не позднее рабочего дня, следующего за днем получения им соответствующих документов.</w:t>
      </w:r>
    </w:p>
    <w:p w:rsidR="00C059F2" w:rsidRPr="00C059F2" w:rsidRDefault="00C059F2" w:rsidP="00C059F2">
      <w:pPr>
        <w:jc w:val="both"/>
      </w:pPr>
      <w:r w:rsidRPr="00C059F2">
        <w:t xml:space="preserve">ГАРАНТ.РУ: </w:t>
      </w:r>
      <w:hyperlink r:id="rId10" w:anchor="ixzz5SdDzgOqG" w:history="1">
        <w:r w:rsidRPr="00C059F2">
          <w:rPr>
            <w:rStyle w:val="a3"/>
            <w:lang w:val="en-US"/>
          </w:rPr>
          <w:t>http</w:t>
        </w:r>
        <w:r w:rsidRPr="00C059F2">
          <w:rPr>
            <w:rStyle w:val="a3"/>
          </w:rPr>
          <w:t>://</w:t>
        </w:r>
        <w:r w:rsidRPr="00C059F2">
          <w:rPr>
            <w:rStyle w:val="a3"/>
            <w:lang w:val="en-US"/>
          </w:rPr>
          <w:t>www</w:t>
        </w:r>
        <w:r w:rsidRPr="00C059F2">
          <w:rPr>
            <w:rStyle w:val="a3"/>
          </w:rPr>
          <w:t>.</w:t>
        </w:r>
        <w:r w:rsidRPr="00C059F2">
          <w:rPr>
            <w:rStyle w:val="a3"/>
            <w:lang w:val="en-US"/>
          </w:rPr>
          <w:t>garant</w:t>
        </w:r>
        <w:r w:rsidRPr="00C059F2">
          <w:rPr>
            <w:rStyle w:val="a3"/>
          </w:rPr>
          <w:t>.</w:t>
        </w:r>
        <w:r w:rsidRPr="00C059F2">
          <w:rPr>
            <w:rStyle w:val="a3"/>
            <w:lang w:val="en-US"/>
          </w:rPr>
          <w:t>ru</w:t>
        </w:r>
        <w:r w:rsidRPr="00C059F2">
          <w:rPr>
            <w:rStyle w:val="a3"/>
          </w:rPr>
          <w:t>/</w:t>
        </w:r>
        <w:r w:rsidRPr="00C059F2">
          <w:rPr>
            <w:rStyle w:val="a3"/>
            <w:lang w:val="en-US"/>
          </w:rPr>
          <w:t>news</w:t>
        </w:r>
        <w:r w:rsidRPr="00C059F2">
          <w:rPr>
            <w:rStyle w:val="a3"/>
          </w:rPr>
          <w:t>/1220189/#</w:t>
        </w:r>
        <w:r w:rsidRPr="00C059F2">
          <w:rPr>
            <w:rStyle w:val="a3"/>
            <w:lang w:val="en-US"/>
          </w:rPr>
          <w:t>ixzz</w:t>
        </w:r>
        <w:r w:rsidRPr="00C059F2">
          <w:rPr>
            <w:rStyle w:val="a3"/>
          </w:rPr>
          <w:t>5</w:t>
        </w:r>
        <w:r w:rsidRPr="00C059F2">
          <w:rPr>
            <w:rStyle w:val="a3"/>
            <w:lang w:val="en-US"/>
          </w:rPr>
          <w:t>SdDzgOqG</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Минздрав России подготовил для пациентов ОМС памятку о гарантиях бесплатного оказания медицинской помощи</w:t>
      </w:r>
    </w:p>
    <w:p w:rsidR="00C059F2" w:rsidRPr="00C059F2" w:rsidRDefault="00C059F2" w:rsidP="00C059F2">
      <w:pPr>
        <w:jc w:val="both"/>
      </w:pPr>
      <w:r w:rsidRPr="00C059F2">
        <w:t xml:space="preserve">25 сентября 2018 </w:t>
      </w:r>
    </w:p>
    <w:p w:rsidR="00C059F2" w:rsidRPr="00C059F2" w:rsidRDefault="00C059F2" w:rsidP="00C059F2">
      <w:pPr>
        <w:jc w:val="both"/>
      </w:pPr>
      <w:r w:rsidRPr="00C059F2">
        <w:t>В памятке рассказывается:</w:t>
      </w:r>
    </w:p>
    <w:p w:rsidR="00C059F2" w:rsidRPr="00C059F2" w:rsidRDefault="00C059F2" w:rsidP="00C059F2">
      <w:pPr>
        <w:numPr>
          <w:ilvl w:val="0"/>
          <w:numId w:val="1"/>
        </w:numPr>
        <w:jc w:val="both"/>
      </w:pPr>
      <w:r w:rsidRPr="00C059F2">
        <w:t>о видах бесплатной медпомощи (первичная доврачебная/ врачебная/ специализированная, специализированная медицинская, паллиативная, скорая и ВМТ). В рамках этих видов помощи бесплатно проводятся медицинская реабилитация, ЭКО, диализы, химиотерапия, диспансеризация и наблюдение за хроническими больными и пациентами с социально значимыми заболеваниями;</w:t>
      </w:r>
    </w:p>
    <w:p w:rsidR="00C059F2" w:rsidRPr="00C059F2" w:rsidRDefault="00C059F2" w:rsidP="00C059F2">
      <w:pPr>
        <w:numPr>
          <w:ilvl w:val="0"/>
          <w:numId w:val="1"/>
        </w:numPr>
        <w:jc w:val="both"/>
      </w:pPr>
      <w:r w:rsidRPr="00C059F2">
        <w:t>о предельных сроках ожидания медпомощи (</w:t>
      </w:r>
      <w:hyperlink r:id="rId11" w:history="1">
        <w:r w:rsidRPr="00C059F2">
          <w:rPr>
            <w:rStyle w:val="a3"/>
          </w:rPr>
          <w:t>письмо Минздрава России от 15 августа 2018 г. № 11-8/10/2-5437</w:t>
        </w:r>
      </w:hyperlink>
      <w:r w:rsidRPr="00C059F2">
        <w:t>):</w:t>
      </w:r>
      <w:r w:rsidRPr="00C059F2">
        <w:b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3"/>
        <w:gridCol w:w="3866"/>
      </w:tblGrid>
      <w:tr w:rsidR="00C059F2" w:rsidRPr="00C059F2" w:rsidTr="00C059F2">
        <w:tc>
          <w:tcPr>
            <w:tcW w:w="56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t>прием участкового терапевта/педиатра</w:t>
            </w:r>
          </w:p>
        </w:tc>
        <w:tc>
          <w:tcPr>
            <w:tcW w:w="396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t>не более суток с момента обращения</w:t>
            </w:r>
          </w:p>
        </w:tc>
      </w:tr>
      <w:tr w:rsidR="00C059F2" w:rsidRPr="00C059F2" w:rsidTr="00C059F2">
        <w:tc>
          <w:tcPr>
            <w:tcW w:w="56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t>проведение консультаций врачей-специалистов</w:t>
            </w:r>
          </w:p>
        </w:tc>
        <w:tc>
          <w:tcPr>
            <w:tcW w:w="396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t>не более двух недель с момента обращения в медорганизацию</w:t>
            </w:r>
          </w:p>
        </w:tc>
      </w:tr>
      <w:tr w:rsidR="00C059F2" w:rsidRPr="00C059F2" w:rsidTr="00C059F2">
        <w:tc>
          <w:tcPr>
            <w:tcW w:w="56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t>лабораторные и диагностические инструментальные исследования, в том числе УЗИ, рентген, маммография</w:t>
            </w:r>
          </w:p>
        </w:tc>
        <w:tc>
          <w:tcPr>
            <w:tcW w:w="396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t>не более двух недель с момента назначения</w:t>
            </w:r>
          </w:p>
        </w:tc>
      </w:tr>
      <w:tr w:rsidR="00C059F2" w:rsidRPr="00C059F2" w:rsidTr="00C059F2">
        <w:tc>
          <w:tcPr>
            <w:tcW w:w="56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t>КТ (в том числе однофотонная эмиссионная компьютерная томография), МРТ и ангиография</w:t>
            </w:r>
          </w:p>
        </w:tc>
        <w:tc>
          <w:tcPr>
            <w:tcW w:w="396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t>не более 30 дней с момента назначения</w:t>
            </w:r>
          </w:p>
        </w:tc>
      </w:tr>
      <w:tr w:rsidR="00C059F2" w:rsidRPr="00C059F2" w:rsidTr="00C059F2">
        <w:tc>
          <w:tcPr>
            <w:tcW w:w="56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t>КТ (в том числе однофотонная эмиссионная компьютерная томография), МРТ и ангиография онкологическим пациентам</w:t>
            </w:r>
          </w:p>
        </w:tc>
        <w:tc>
          <w:tcPr>
            <w:tcW w:w="396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t>не более двух недель с момента назначения</w:t>
            </w:r>
          </w:p>
        </w:tc>
      </w:tr>
      <w:tr w:rsidR="00C059F2" w:rsidRPr="00C059F2" w:rsidTr="00C059F2">
        <w:tc>
          <w:tcPr>
            <w:tcW w:w="56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lastRenderedPageBreak/>
              <w:t>специализированная медпомощь (кроме ВМП)</w:t>
            </w:r>
          </w:p>
        </w:tc>
        <w:tc>
          <w:tcPr>
            <w:tcW w:w="396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t>не более 30 дней со дня выдачи лечащим врачом направления на госпитализацию</w:t>
            </w:r>
          </w:p>
        </w:tc>
      </w:tr>
      <w:tr w:rsidR="00C059F2" w:rsidRPr="00C059F2" w:rsidTr="00C059F2">
        <w:tc>
          <w:tcPr>
            <w:tcW w:w="56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t>специализированная медпомощь (кроме ВМП) онкологическим пациентам</w:t>
            </w:r>
          </w:p>
        </w:tc>
        <w:tc>
          <w:tcPr>
            <w:tcW w:w="396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t>не более двух недель с момента установления диагноза</w:t>
            </w:r>
          </w:p>
        </w:tc>
      </w:tr>
      <w:tr w:rsidR="00C059F2" w:rsidRPr="00C059F2" w:rsidTr="00C059F2">
        <w:tc>
          <w:tcPr>
            <w:tcW w:w="5625"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t>прибытие бригады скорой медпомощи</w:t>
            </w:r>
          </w:p>
        </w:tc>
        <w:tc>
          <w:tcPr>
            <w:tcW w:w="3960" w:type="dxa"/>
            <w:tcBorders>
              <w:top w:val="outset" w:sz="6" w:space="0" w:color="auto"/>
              <w:left w:val="outset" w:sz="6" w:space="0" w:color="auto"/>
              <w:bottom w:val="outset" w:sz="6" w:space="0" w:color="auto"/>
              <w:right w:val="outset" w:sz="6" w:space="0" w:color="auto"/>
            </w:tcBorders>
            <w:tcMar>
              <w:top w:w="90" w:type="dxa"/>
              <w:left w:w="90" w:type="dxa"/>
              <w:bottom w:w="90" w:type="dxa"/>
              <w:right w:w="90" w:type="dxa"/>
            </w:tcMar>
            <w:hideMark/>
          </w:tcPr>
          <w:p w:rsidR="00C059F2" w:rsidRPr="00C059F2" w:rsidRDefault="00C059F2" w:rsidP="00C059F2">
            <w:pPr>
              <w:jc w:val="both"/>
            </w:pPr>
            <w:r w:rsidRPr="00C059F2">
              <w:t>не более 20 мин</w:t>
            </w:r>
          </w:p>
        </w:tc>
      </w:tr>
    </w:tbl>
    <w:p w:rsidR="00C059F2" w:rsidRPr="00C059F2" w:rsidRDefault="00C059F2" w:rsidP="00C059F2">
      <w:pPr>
        <w:jc w:val="both"/>
      </w:pPr>
      <w:r w:rsidRPr="00C059F2">
        <w:t> </w:t>
      </w:r>
    </w:p>
    <w:p w:rsidR="00C059F2" w:rsidRPr="00C059F2" w:rsidRDefault="00C059F2" w:rsidP="00C059F2">
      <w:pPr>
        <w:numPr>
          <w:ilvl w:val="0"/>
          <w:numId w:val="2"/>
        </w:numPr>
        <w:jc w:val="both"/>
      </w:pPr>
      <w:r w:rsidRPr="00C059F2">
        <w:t>о том, за что пациент вообще не должен платить (оказание медуслуг, лекарства ЖНВЛП в стационаре, переливание крови, медизделия, спецпитание, размещение в маломестных боксах по мед/эпидпоказаниям, нахождение взрослого в больнице вместе с ребенком до 4х лет),</w:t>
      </w:r>
    </w:p>
    <w:p w:rsidR="00C059F2" w:rsidRPr="00C059F2" w:rsidRDefault="00C059F2" w:rsidP="00C059F2">
      <w:pPr>
        <w:numPr>
          <w:ilvl w:val="0"/>
          <w:numId w:val="2"/>
        </w:numPr>
        <w:jc w:val="both"/>
      </w:pPr>
      <w:r w:rsidRPr="00C059F2">
        <w:t>о том, за что пациент может заплатить, если захочет (за анонимные медуслуги, за самостоятельное обращение в медорганизацию (кроме той, куда он прикреплен),</w:t>
      </w:r>
    </w:p>
    <w:p w:rsidR="00C059F2" w:rsidRPr="00C059F2" w:rsidRDefault="00C059F2" w:rsidP="00C059F2">
      <w:pPr>
        <w:numPr>
          <w:ilvl w:val="0"/>
          <w:numId w:val="2"/>
        </w:numPr>
        <w:jc w:val="both"/>
      </w:pPr>
      <w:r w:rsidRPr="00C059F2">
        <w:t>куда жаловаться на отказ в бесплатной медпомощи (главврачу или завотделением, в страховую, в ТерФОМС, в Росздравнадзор, в региональный орган здравоохранения и т. д.),</w:t>
      </w:r>
    </w:p>
    <w:p w:rsidR="00C059F2" w:rsidRPr="00C059F2" w:rsidRDefault="00C059F2" w:rsidP="00C059F2">
      <w:pPr>
        <w:numPr>
          <w:ilvl w:val="0"/>
          <w:numId w:val="2"/>
        </w:numPr>
        <w:jc w:val="both"/>
      </w:pPr>
      <w:r w:rsidRPr="00C059F2">
        <w:t>о страховых представителях (консультирует, контролирует и защищает пациента).</w:t>
      </w:r>
    </w:p>
    <w:p w:rsidR="00C059F2" w:rsidRPr="00C059F2" w:rsidRDefault="00C059F2" w:rsidP="00C059F2">
      <w:pPr>
        <w:jc w:val="both"/>
      </w:pPr>
      <w:r w:rsidRPr="00C059F2">
        <w:t xml:space="preserve">ГАРАНТ.РУ: </w:t>
      </w:r>
      <w:hyperlink r:id="rId12" w:anchor="ixzz5SdOX4rNt" w:history="1">
        <w:r w:rsidRPr="00C059F2">
          <w:rPr>
            <w:rStyle w:val="a3"/>
          </w:rPr>
          <w:t>http://www.garant.ru/news/1220210/#ixzz5SdOX4rNt</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Минтруд России: работодатели вправе установить порядок оформления журналов проведения инструктажей по охране труда самостоятельно</w:t>
      </w:r>
    </w:p>
    <w:p w:rsidR="00C059F2" w:rsidRPr="00C059F2" w:rsidRDefault="00C059F2" w:rsidP="00C059F2">
      <w:pPr>
        <w:jc w:val="both"/>
      </w:pPr>
      <w:r w:rsidRPr="00C059F2">
        <w:t>25 сентября 2018</w:t>
      </w:r>
    </w:p>
    <w:p w:rsidR="00C059F2" w:rsidRPr="00C059F2" w:rsidRDefault="00C059F2" w:rsidP="00C059F2">
      <w:pPr>
        <w:jc w:val="both"/>
      </w:pPr>
      <w:r w:rsidRPr="00C059F2">
        <w:t>В силу ст. 225 Трудового кодекса для всех поступающих на работу лиц, а также для работников, переводимых на другую работу, работодатель или уполномоченное им лицо обязаны проводить в том числе инструктаж по охране труда (письмо Минтруда России от 16 июля 2018 г. № 15-2/ООГ-1744).</w:t>
      </w:r>
    </w:p>
    <w:p w:rsidR="00C059F2" w:rsidRPr="00C059F2" w:rsidRDefault="00C059F2" w:rsidP="00C059F2">
      <w:pPr>
        <w:jc w:val="both"/>
      </w:pPr>
      <w:r w:rsidRPr="00C059F2">
        <w:t>Согласно пункту 2.1.3 Порядка обучения по охране труда и проверки знаний требований охраны труда работников организаций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C059F2" w:rsidRPr="00C059F2" w:rsidRDefault="00C059F2" w:rsidP="00C059F2">
      <w:pPr>
        <w:jc w:val="both"/>
      </w:pPr>
      <w:r w:rsidRPr="00C059F2">
        <w:t>Формы журналов проведения инструктажей по охране труда приведены в ГОСТ 12.0.004-2015. Работодатель своими локальными нормативными актами вправе установить требования, связанные с необходимостью шнуровки журналов, нумерации страниц, простановки печати и подписи, скрепляющей журнал.</w:t>
      </w:r>
    </w:p>
    <w:p w:rsidR="00C059F2" w:rsidRPr="00C059F2" w:rsidRDefault="00C059F2" w:rsidP="00C059F2">
      <w:pPr>
        <w:jc w:val="both"/>
      </w:pPr>
      <w:r w:rsidRPr="00C059F2">
        <w:t xml:space="preserve">Сама по себе необходимость применения форм журналов инструктажей, содержащихся в ГОСТ 12.0.004-2015, вызывает споры. В самом приказе Росстандарта от 9 июня 2016 г. № 600-ст, которым данный ГОСТ был введен в действие, прямо указывается на добровольность его применения, что в полной мере соответствует положениям Федерального закона от 29 июня 2015 г. № 162-ФЗ "О стандартизации в Российской Федерации". Точка зрения о том, что у работодателей нет обязанности пользоваться формами журналов инструктажей, содержащимися в ГОСТ, и такие формы можно разработать самостоятельно, встречаются в разъяснениях специалистов Роструда. </w:t>
      </w:r>
    </w:p>
    <w:p w:rsidR="00C059F2" w:rsidRPr="00C059F2" w:rsidRDefault="00C059F2" w:rsidP="00C059F2">
      <w:pPr>
        <w:jc w:val="both"/>
      </w:pPr>
      <w:r w:rsidRPr="00C059F2">
        <w:t>В судебной практике имеются примеры привлечения работодателей к административной ответственности за несоблюдение предусмотренной ГОСТ формы журналов инструктажей.</w:t>
      </w:r>
    </w:p>
    <w:p w:rsidR="00C059F2" w:rsidRPr="00C059F2" w:rsidRDefault="00C059F2" w:rsidP="00C059F2">
      <w:pPr>
        <w:jc w:val="both"/>
      </w:pPr>
      <w:r w:rsidRPr="00C059F2">
        <w:t xml:space="preserve">ГАРАНТ.РУ: </w:t>
      </w:r>
      <w:hyperlink r:id="rId13" w:anchor="ixzz5SdTmFduN" w:history="1">
        <w:r w:rsidRPr="00C059F2">
          <w:rPr>
            <w:rStyle w:val="a3"/>
          </w:rPr>
          <w:t>http://www.garant.ru/news/1220200/#ixzz5SdTmFduN</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Депутаты предлагают ввести с 1 января 2019 года специальный налоговый режим для самозанятых</w:t>
      </w:r>
    </w:p>
    <w:p w:rsidR="00C059F2" w:rsidRPr="00C059F2" w:rsidRDefault="00C059F2" w:rsidP="00C059F2">
      <w:pPr>
        <w:jc w:val="both"/>
      </w:pPr>
      <w:r w:rsidRPr="00C059F2">
        <w:t>25 сентября 2018</w:t>
      </w:r>
    </w:p>
    <w:p w:rsidR="00C059F2" w:rsidRPr="00C059F2" w:rsidRDefault="00C059F2" w:rsidP="00C059F2">
      <w:pPr>
        <w:jc w:val="both"/>
      </w:pPr>
      <w:r w:rsidRPr="00C059F2">
        <w:lastRenderedPageBreak/>
        <w:t>Депутаты Госдумы внесли на рассмотрение в нижнюю палату парламента законопроект, предусматривающий возможность проведения на территории одного или нескольких субъектов РФ либо муниципальных образований экспериментов по установлению отдельных налогов, сборов, специальных налоговых режимов. Планируется, что указанные эксперименты могут вводиться федеральными законами, но только на ограниченный период времени. При этом не позднее, чем за шесть месяцев до окончания эксперимента Правительство РФ будет представлять отчет о об эффективности или неэффективности проведенного эксперимента, а также предложения о продлении, установлении налога, сбора, специального налогового режима либо о прекращении эксперимента.</w:t>
      </w:r>
    </w:p>
    <w:p w:rsidR="00C059F2" w:rsidRPr="00C059F2" w:rsidRDefault="00C059F2" w:rsidP="00C059F2">
      <w:pPr>
        <w:jc w:val="both"/>
      </w:pPr>
      <w:r w:rsidRPr="00C059F2">
        <w:t>Первым специальным налоговым режимом в порядке эксперимента авторы инициативы хотят сделать систему налогообложения в виде налога на профессиональный доход. Его планируется провести в Москве, Московской и Калужской областях, а также в Республике Татарстан. Эксперименту посвящен отдельный законопроект депутатов, и согласно данному документу он будет проводиться до 31 декабря 2028 года включительно.</w:t>
      </w:r>
    </w:p>
    <w:p w:rsidR="00C059F2" w:rsidRPr="00C059F2" w:rsidRDefault="00C059F2" w:rsidP="00C059F2">
      <w:pPr>
        <w:jc w:val="both"/>
      </w:pPr>
      <w:r w:rsidRPr="00C059F2">
        <w:t>Физлицо может не вставать на учет в налоговой инспекции в качестве ИП, если применяет указанный специальный налоговый режим. Регистрацию физлиц и ИП планируется осуществлять через мобильное приложение "Мой налог". Через него налоговый орган уведомит налогоплательщика не позднее десятого числа месяца, следующего за истекшим налоговым периодом, о сумме налога к уплате. Документы, полученные физлицом через приложение, направляться по почте не будут. Для ИП предусмотрена возможность не применять при расчетах ККТ. Сведения в виде фискального чека о произведенных расчетах будут передаваться автоматически в налоговую инспекцию и покупателю через указанное приложение. Однако с самозанятых граждан может быть взыскан штраф в размере 20% от суммы расчетов, на которую в установленном порядке не сформирован фискальный чек, но не менее 1 тыс. руб.</w:t>
      </w:r>
    </w:p>
    <w:p w:rsidR="00C059F2" w:rsidRPr="00C059F2" w:rsidRDefault="00C059F2" w:rsidP="00C059F2">
      <w:pPr>
        <w:jc w:val="both"/>
      </w:pPr>
      <w:r w:rsidRPr="00C059F2">
        <w:t>В законодательство об ОМС вводятся новые субъекты – страхователи и застрахованные лица, которые уплачивают налог на профессиональный доход. Что касается получения страховой пенсии, то плательщикам данного специального налогового режима предоставляется возможность добровольно уплачивать взносы на ОПС в любом размере. Но максимальный размер не может превышать восьмикратного минимального размера оплаты труда и тарифа страховых взносов в ПФР, увеличенного в 12 раз и установленного подп. 1 п. 2 ст. 425 НК РФ.</w:t>
      </w:r>
    </w:p>
    <w:p w:rsidR="00C059F2" w:rsidRPr="00C059F2" w:rsidRDefault="00C059F2" w:rsidP="00C059F2">
      <w:pPr>
        <w:jc w:val="both"/>
      </w:pPr>
      <w:r w:rsidRPr="00C059F2">
        <w:t>Применять новый спецрежим смогут физлица и ИП, перешедшие на уплату налога на профессиональный доход. Налогоплательщики, использующие новый спецрежим, будут освобождены от НДФЛ, но только в отношении доходов, являющихся объектом налогообложения налогом на профессиональный доход. Также ИП не будут признаваться плательщиками страховых взносов, НДС, за исключением уплачиваемого при ввозе на территорию РФ товаров. Однако от исполнения обязанности налоговых агентов освобождение не предусмотрено.</w:t>
      </w:r>
    </w:p>
    <w:p w:rsidR="00C059F2" w:rsidRPr="00C059F2" w:rsidRDefault="00C059F2" w:rsidP="00C059F2">
      <w:pPr>
        <w:jc w:val="both"/>
      </w:pPr>
      <w:r w:rsidRPr="00C059F2">
        <w:t>Новый спецрежим не смогут применять лица, например, у которых годовой доход превысил 2,4 млн руб., или у которых есть наемные работники по трудовому договору. А также те, кто осуществляют перепродажу товаров, имущественных прав. Не смогут применять спецрежим и посредники, работающие по агентскому договору, договору поручительства, договору комиссии.</w:t>
      </w:r>
    </w:p>
    <w:p w:rsidR="00C059F2" w:rsidRPr="00C059F2" w:rsidRDefault="00C059F2" w:rsidP="00C059F2">
      <w:pPr>
        <w:jc w:val="both"/>
      </w:pPr>
      <w:r w:rsidRPr="00C059F2">
        <w:t>Объектом налогообложения признаются доходы от реализации товаров (услуг, работ, имущественных прав) за исключением таких доходов, как, например, полученных в рамках трудовых отношений, от продажи недвижимого имущества, транспортных средств, от реализации ценных бумаг, уступки прав требований, доходы в натуральной форме. Возможно, налоговым периодом признают календарный месяц.</w:t>
      </w:r>
    </w:p>
    <w:p w:rsidR="00C059F2" w:rsidRPr="00C059F2" w:rsidRDefault="00C059F2" w:rsidP="00C059F2">
      <w:pPr>
        <w:jc w:val="both"/>
      </w:pPr>
      <w:r w:rsidRPr="00C059F2">
        <w:t xml:space="preserve">При реализации товаров, услуг, работ, имущественных прав в адрес юрлиц и ИП для использования их в предпринимательской деятельности ставка налога составит 6%, при реализации физлицам – 4%. Однако плательщики данного налога смогут применять </w:t>
      </w:r>
      <w:r w:rsidRPr="00C059F2">
        <w:lastRenderedPageBreak/>
        <w:t>налоговый вычет в размере, не превышающем 10 тыс. руб. Вычет планируется исчислять как 1% от налоговой базы для физлиц и 2% – для ИП. Уплачивать налог планируется не позднее 25 числа месяца, следующего за истекшим налоговым периодом.</w:t>
      </w:r>
    </w:p>
    <w:p w:rsidR="00C059F2" w:rsidRPr="00C059F2" w:rsidRDefault="00C059F2" w:rsidP="00C059F2">
      <w:pPr>
        <w:jc w:val="both"/>
      </w:pPr>
      <w:r w:rsidRPr="00C059F2">
        <w:t>В случае принятия обоих законопроектов, они вступят в силу со дня их официального опубликования, но не ранее 1 января 2019 года.</w:t>
      </w:r>
    </w:p>
    <w:p w:rsidR="00C059F2" w:rsidRPr="00C059F2" w:rsidRDefault="00C059F2" w:rsidP="00C059F2">
      <w:pPr>
        <w:jc w:val="both"/>
      </w:pPr>
      <w:r w:rsidRPr="00C059F2">
        <w:t xml:space="preserve">ГАРАНТ.РУ: </w:t>
      </w:r>
      <w:hyperlink r:id="rId14" w:anchor="ixzz5SdGdk3xy" w:history="1">
        <w:r w:rsidRPr="00C059F2">
          <w:rPr>
            <w:rStyle w:val="a3"/>
          </w:rPr>
          <w:t>http://www.garant.ru/news/1220177/#ixzz5SdGdk3xy</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Принят закон об уголовной ответственности за увольнение лиц предпенсионного возраста</w:t>
      </w:r>
    </w:p>
    <w:p w:rsidR="00C059F2" w:rsidRPr="00C059F2" w:rsidRDefault="00C059F2" w:rsidP="00C059F2">
      <w:pPr>
        <w:jc w:val="both"/>
      </w:pPr>
      <w:r w:rsidRPr="00C059F2">
        <w:t>25 сентября 2018</w:t>
      </w:r>
    </w:p>
    <w:p w:rsidR="00C059F2" w:rsidRPr="00C059F2" w:rsidRDefault="00C059F2" w:rsidP="00C059F2">
      <w:pPr>
        <w:jc w:val="both"/>
      </w:pPr>
      <w:r w:rsidRPr="00C059F2">
        <w:t>Сегодня Госдума в третьем чтении приняла закон об уголовном наказании за необоснованный отказ в приеме на работу или необоснованное увольнение гражданина за пять и менее лет до назначения ему страховой пенсии по старости. За совершение этого преступления будет назначаться штраф в размере до 200 тыс. руб. или в размере заработной платы или иного дохода осужденного за период до 18 месяцев либо обязательные работы на срок до 360 часов.</w:t>
      </w:r>
    </w:p>
    <w:p w:rsidR="00C059F2" w:rsidRPr="00C059F2" w:rsidRDefault="00C059F2" w:rsidP="00C059F2">
      <w:pPr>
        <w:jc w:val="both"/>
      </w:pPr>
      <w:r w:rsidRPr="00C059F2">
        <w:t xml:space="preserve">ГАРАНТ.РУ: </w:t>
      </w:r>
      <w:hyperlink r:id="rId15" w:anchor="ixzz5SeypUBFP" w:history="1">
        <w:r w:rsidRPr="00C059F2">
          <w:rPr>
            <w:rStyle w:val="a3"/>
          </w:rPr>
          <w:t>http://www.garant.ru/news/1220187/#ixzz5SeypUBFP</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Гражданам могут предоставить право самим выбирать время выхода на пенсию в рамках возрастных интервалов</w:t>
      </w:r>
    </w:p>
    <w:p w:rsidR="00C059F2" w:rsidRPr="00C059F2" w:rsidRDefault="00C059F2" w:rsidP="00C059F2">
      <w:pPr>
        <w:jc w:val="both"/>
      </w:pPr>
      <w:r w:rsidRPr="00C059F2">
        <w:t>26 сентября 2018</w:t>
      </w:r>
    </w:p>
    <w:p w:rsidR="00C059F2" w:rsidRPr="00C059F2" w:rsidRDefault="00C059F2" w:rsidP="00C059F2">
      <w:pPr>
        <w:jc w:val="both"/>
      </w:pPr>
      <w:r w:rsidRPr="00C059F2">
        <w:t>Группа депутатов Госдумы во главе с Сергеем Мироновым предлагает установить правило, согласно которому право на страховую пенсию по старости будет возникать по заявлению у мужчин в возрасте от 60 до 65 лет и у женщин от 55 до 60 лет. А при его отсутствии право на такую пенсию будет сохраняться у женщин с 55 лет и у мужчин с 60 лет.</w:t>
      </w:r>
    </w:p>
    <w:p w:rsidR="00C059F2" w:rsidRPr="00C059F2" w:rsidRDefault="00C059F2" w:rsidP="00C059F2">
      <w:pPr>
        <w:jc w:val="both"/>
      </w:pPr>
      <w:r w:rsidRPr="00C059F2">
        <w:t>Цель предлагаемого нововведения – исключить ущемление прав граждан, не согласных с повышением пенсионного возраста со следующего года.</w:t>
      </w:r>
    </w:p>
    <w:p w:rsidR="00C059F2" w:rsidRPr="00C059F2" w:rsidRDefault="00C059F2" w:rsidP="00C059F2">
      <w:pPr>
        <w:jc w:val="both"/>
      </w:pPr>
      <w:r w:rsidRPr="00C059F2">
        <w:t>Другим законопроектом этих же депутатов планируется установить понятие гарантированного периода получения страховой пенсии по старости. Под ним предполагается понимать возраст, до достижения которого гражданин России, застрахованный в рамках обязательного пенсионного страхования, либо его наследник будут иметь гарантированное право на получение страховой пенсии по старости. Этот период предлагается рассчитывать путем прибавления пяти лет к продолжительности ежегодно определяемого кабмином возраста ожидаемой продолжительности жизни.</w:t>
      </w:r>
    </w:p>
    <w:p w:rsidR="00C059F2" w:rsidRPr="00C059F2" w:rsidRDefault="00C059F2" w:rsidP="00C059F2">
      <w:pPr>
        <w:jc w:val="both"/>
      </w:pPr>
      <w:r w:rsidRPr="00C059F2">
        <w:t>В случае смерти застрахованного лица, уплатившего страховые пенсионные взносы до начала получения страховой пенсии по старости, гарантированный период ее получения будет начинаться с момента вступления наследников в свои права. Предполагается, что размер наследуемой пенсии будет определяться пропорционально уплаченным взносам.</w:t>
      </w:r>
    </w:p>
    <w:p w:rsidR="00C059F2" w:rsidRPr="00C059F2" w:rsidRDefault="00C059F2" w:rsidP="00C059F2">
      <w:pPr>
        <w:jc w:val="both"/>
      </w:pPr>
      <w:r w:rsidRPr="00C059F2">
        <w:t xml:space="preserve">ГАРАНТ.РУ: </w:t>
      </w:r>
      <w:hyperlink r:id="rId16" w:anchor="ixzz5SexAXMwi" w:history="1">
        <w:r w:rsidRPr="00C059F2">
          <w:rPr>
            <w:rStyle w:val="a3"/>
          </w:rPr>
          <w:t>http://www.garant.ru/news/1220489/#ixzz5SexAXMwi</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Минздрав России установит конкретные лицензионные требования по каждой услуге из перечня услуг, составляющих медицинскую деятельность</w:t>
      </w:r>
    </w:p>
    <w:p w:rsidR="00C059F2" w:rsidRPr="00C059F2" w:rsidRDefault="00C059F2" w:rsidP="00C059F2">
      <w:pPr>
        <w:jc w:val="both"/>
      </w:pPr>
      <w:r w:rsidRPr="00C059F2">
        <w:t>26 сентября 2018</w:t>
      </w:r>
    </w:p>
    <w:p w:rsidR="00C059F2" w:rsidRPr="00C059F2" w:rsidRDefault="00C059F2" w:rsidP="00C059F2">
      <w:pPr>
        <w:jc w:val="both"/>
      </w:pPr>
      <w:r w:rsidRPr="00C059F2">
        <w:t>Суд подтвердил законность предписания ФАС России о необходимости установить конкретные лицензионные требования отдельно по каждой работе/услуге из Перечня работ (услуг), составляющих медицинскую деятельность (далее – Перечень).</w:t>
      </w:r>
    </w:p>
    <w:p w:rsidR="00C059F2" w:rsidRPr="00C059F2" w:rsidRDefault="00C059F2" w:rsidP="00C059F2">
      <w:pPr>
        <w:jc w:val="both"/>
      </w:pPr>
      <w:r w:rsidRPr="00C059F2">
        <w:t>Постановлением Правительства РФ от 16 апреля 2012 г. № 291 утверждено Положение о лицензировании медицинской деятельности, которую составляют работы/услуги по Перечню, при этом требования к организации и выполнению указанных работ (услуг) в целях лицензирования должны быть установлены Минздравом России (постановление Девятого ААС от 28 августа 2018 г. № 09АП-35422/18).</w:t>
      </w:r>
    </w:p>
    <w:p w:rsidR="00C059F2" w:rsidRPr="00C059F2" w:rsidRDefault="00C059F2" w:rsidP="00C059F2">
      <w:pPr>
        <w:jc w:val="both"/>
      </w:pPr>
      <w:r w:rsidRPr="00C059F2">
        <w:lastRenderedPageBreak/>
        <w:t xml:space="preserve">Во исполнение данной нормы Минздрав России принял приказ от 11 марта 2013 г. № 121н (далее – Приказ № 121н), в котором, однако, никаких собственно лицензионных требований и нет. Приказом № 121н работы/услуги из вышеупомянутого Перечня просто "раскиданы" по видам медицинской помощи (первичная медико-санитарная, специализированная, ВМП и т. д.) и по условиям ее оказания (амбулаторно, стационарно, на дому). </w:t>
      </w:r>
    </w:p>
    <w:p w:rsidR="00C059F2" w:rsidRPr="00C059F2" w:rsidRDefault="00C059F2" w:rsidP="00C059F2">
      <w:pPr>
        <w:jc w:val="both"/>
      </w:pPr>
      <w:r w:rsidRPr="00C059F2">
        <w:t>Никаких других актов по вопросам лицензирования Минздрав России не принял. ФАС России посчитала такое бездействие (неустановление требований к организации и выполнению работ (услуг) в целях лицензирования меддеятельности) нарушением Федерального закона от 26 июля 2006 г. № 135-ФЗ "О защите конкуренции" и выдала Минздраву России предписание: установить лицензионные требования по каждой из 151 услуге/работе из Перечня.</w:t>
      </w:r>
    </w:p>
    <w:p w:rsidR="00C059F2" w:rsidRPr="00C059F2" w:rsidRDefault="00C059F2" w:rsidP="00C059F2">
      <w:pPr>
        <w:jc w:val="both"/>
      </w:pPr>
      <w:r w:rsidRPr="00C059F2">
        <w:t>Минздрав России пытался оспорить предписание в суде, но и первая, и апелляционная инстанции согласились с позицией антимонопольного ведомства.</w:t>
      </w:r>
    </w:p>
    <w:p w:rsidR="00C059F2" w:rsidRPr="00C059F2" w:rsidRDefault="00C059F2" w:rsidP="00C059F2">
      <w:pPr>
        <w:jc w:val="both"/>
      </w:pPr>
      <w:r w:rsidRPr="00C059F2">
        <w:t>В частности, суд принял во внимание следующее:</w:t>
      </w:r>
    </w:p>
    <w:p w:rsidR="00C059F2" w:rsidRPr="00C059F2" w:rsidRDefault="00C059F2" w:rsidP="00C059F2">
      <w:pPr>
        <w:jc w:val="both"/>
      </w:pPr>
      <w:r w:rsidRPr="00C059F2">
        <w:t>Приказ № 121н фактически не содержит лицензионных требований, а вводит новый расширенный перечень работ (услуг), составляющих меддеятельность, который на практике используется лишь в целях оформления бланка лицензии (что подтвердил и сам Минздрав России),</w:t>
      </w:r>
    </w:p>
    <w:p w:rsidR="00C059F2" w:rsidRPr="00C059F2" w:rsidRDefault="00C059F2" w:rsidP="00C059F2">
      <w:pPr>
        <w:jc w:val="both"/>
      </w:pPr>
      <w:r w:rsidRPr="00C059F2">
        <w:t>лицензионным требованием при осуществлении медицинской деятельности является, в том числе, соблюдение порядков оказания медицинской помощи. Однако Минздравом России, как установлено судом, принято всего лишь 64 порядка, что составляет только 42% от общего количества (151) видов работ (услуг), составляющих меддеятельность, из Перечня,</w:t>
      </w:r>
    </w:p>
    <w:p w:rsidR="00C059F2" w:rsidRPr="00C059F2" w:rsidRDefault="00C059F2" w:rsidP="00C059F2">
      <w:pPr>
        <w:jc w:val="both"/>
      </w:pPr>
      <w:r w:rsidRPr="00C059F2">
        <w:t>антимонопольная служба запрашивала у регионов информацию о причинах отказов в предоставлении (переоформлении) медицинской лицензии. Из полученных данных следует, что органы лицензирования субъектов РФ принимают эти решения по своему усмотрению, при этом непредоставление ими лицензий (в отсутствие требований к их выдаче) является барьером входа на соответствующий товарный рынок для хозяйствующих субъектов;</w:t>
      </w:r>
    </w:p>
    <w:p w:rsidR="00C059F2" w:rsidRPr="00C059F2" w:rsidRDefault="00C059F2" w:rsidP="00C059F2">
      <w:pPr>
        <w:jc w:val="both"/>
      </w:pPr>
      <w:r w:rsidRPr="00C059F2">
        <w:t>обеспечение единства экономического пространства на территории РФ и установление единого порядка лицензирования является основным принципом осуществления лицензирования (ст. 4 Федерального закона от 4 мая 2011 г. № 99-ФЗ "О лицензировании отдельных видов деятельности"). Из-за того, что на территории РФ нет единой системы требований к соискателям медлицензий и лицензиатам, число хозяйствующих субъектов на товарном рынке сокращается и является признаком ограничения конкуренции;</w:t>
      </w:r>
    </w:p>
    <w:p w:rsidR="00C059F2" w:rsidRPr="00C059F2" w:rsidRDefault="00C059F2" w:rsidP="00C059F2">
      <w:pPr>
        <w:jc w:val="both"/>
      </w:pPr>
      <w:r w:rsidRPr="00C059F2">
        <w:t>из-за фактического неустановления Минздравом лицензионных требований, хозяйствующие субъекты находятся в состоянии правовой неопределенности относительно необходимости лицензирования "сопутствующих" работ (услуг): лицензирующие органы по своему усмотрению требуют наличия "сопутствующих" лицензий. Например, – по мнению Минздрава России – "сопутствующая" лицензия на работы (услуги) "организация здравоохранения и общественное здоровье" должна быть получена всеми медорганизациями независимо от номенклатуры медицинской деятельности лицензиата. А "сопутствующая" лицензия по сестринскому делу – всеми медорганизациями, которые намерены оказывать такие медицинские услуги как оперативные вмешательства, перевязки, прием (осмотр, консультация) врачей-специалистов и прочие;</w:t>
      </w:r>
    </w:p>
    <w:p w:rsidR="00C059F2" w:rsidRPr="00C059F2" w:rsidRDefault="00C059F2" w:rsidP="00C059F2">
      <w:pPr>
        <w:jc w:val="both"/>
      </w:pPr>
      <w:r w:rsidRPr="00C059F2">
        <w:t>при этом сами хозяйствующие субъекты не в состоянии определить необходимость получения лицензии на выполнение "сопутствующих" работ (услуг), что доказывается богатой практикой их привлечения по ч. 2 ст. 14.1 КоАП.</w:t>
      </w:r>
    </w:p>
    <w:p w:rsidR="00C059F2" w:rsidRPr="00C059F2" w:rsidRDefault="00C059F2" w:rsidP="00C059F2">
      <w:pPr>
        <w:jc w:val="both"/>
      </w:pPr>
      <w:r w:rsidRPr="00C059F2">
        <w:t xml:space="preserve">ГАРАНТ.РУ: </w:t>
      </w:r>
      <w:hyperlink r:id="rId17" w:anchor="ixzz5SdPR0cpO" w:history="1">
        <w:r w:rsidRPr="00C059F2">
          <w:rPr>
            <w:rStyle w:val="a3"/>
          </w:rPr>
          <w:t>http://www.garant.ru/news/1220478/#ixzz5SdPR0cpO</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Разработана форма нового исполнительного документа</w:t>
      </w:r>
    </w:p>
    <w:p w:rsidR="00C059F2" w:rsidRPr="00C059F2" w:rsidRDefault="00C059F2" w:rsidP="00C059F2">
      <w:pPr>
        <w:jc w:val="both"/>
      </w:pPr>
      <w:r w:rsidRPr="00C059F2">
        <w:t>27 сентября 2018</w:t>
      </w:r>
    </w:p>
    <w:p w:rsidR="00C059F2" w:rsidRPr="00C059F2" w:rsidRDefault="00C059F2" w:rsidP="00C059F2">
      <w:pPr>
        <w:jc w:val="both"/>
      </w:pPr>
      <w:r w:rsidRPr="00C059F2">
        <w:lastRenderedPageBreak/>
        <w:t>С 3 сентября в случае, если финансовая организация не исполняет вступившее в силу решение финансового уполномоченного либо условия соглашения, то такой уполномоченный выдает потребителю финансовых услуг удостоверение, являющееся исполнительным документом (п. 3 ст. 23 Федерального закона от 4 июня 2018 г. № 123-ФЗ "Об уполномоченном по правам потребителей финансовых услуг", далее – закон о финансовом уполномоченном). Его форму должно установить Правительство РФ. В связи с этим Минфин России представил проект соответствующего постановления кабмина для общественного обсуждения.</w:t>
      </w:r>
    </w:p>
    <w:p w:rsidR="00C059F2" w:rsidRPr="00C059F2" w:rsidRDefault="00C059F2" w:rsidP="00C059F2">
      <w:pPr>
        <w:jc w:val="both"/>
      </w:pPr>
      <w:r w:rsidRPr="00C059F2">
        <w:t>Согласно документу в этом удостоверении будут указываться:</w:t>
      </w:r>
    </w:p>
    <w:p w:rsidR="00C059F2" w:rsidRPr="00C059F2" w:rsidRDefault="00C059F2" w:rsidP="00C059F2">
      <w:pPr>
        <w:jc w:val="both"/>
      </w:pPr>
      <w:r w:rsidRPr="00C059F2">
        <w:t>его номер и дата выдачи;</w:t>
      </w:r>
    </w:p>
    <w:p w:rsidR="00C059F2" w:rsidRPr="00C059F2" w:rsidRDefault="00C059F2" w:rsidP="00C059F2">
      <w:pPr>
        <w:jc w:val="both"/>
      </w:pPr>
      <w:r w:rsidRPr="00C059F2">
        <w:t>наименование населенного пункта;</w:t>
      </w:r>
    </w:p>
    <w:p w:rsidR="00C059F2" w:rsidRPr="00C059F2" w:rsidRDefault="00C059F2" w:rsidP="00C059F2">
      <w:pPr>
        <w:jc w:val="both"/>
      </w:pPr>
      <w:r w:rsidRPr="00C059F2">
        <w:t>ФИО уполномоченного по правам потребителей финансовых услуг;</w:t>
      </w:r>
    </w:p>
    <w:p w:rsidR="00C059F2" w:rsidRPr="00C059F2" w:rsidRDefault="00C059F2" w:rsidP="00C059F2">
      <w:pPr>
        <w:jc w:val="both"/>
      </w:pPr>
      <w:r w:rsidRPr="00C059F2">
        <w:t>дата подписания и вступления в силу решения уполномоченного;</w:t>
      </w:r>
    </w:p>
    <w:p w:rsidR="00C059F2" w:rsidRPr="00C059F2" w:rsidRDefault="00C059F2" w:rsidP="00C059F2">
      <w:pPr>
        <w:jc w:val="both"/>
      </w:pPr>
      <w:r w:rsidRPr="00C059F2">
        <w:t>содержание и резолютивная часть решения уполномоченного в отношении прав взыскателя;</w:t>
      </w:r>
    </w:p>
    <w:p w:rsidR="00C059F2" w:rsidRPr="00C059F2" w:rsidRDefault="00C059F2" w:rsidP="00C059F2">
      <w:pPr>
        <w:jc w:val="both"/>
      </w:pPr>
      <w:r w:rsidRPr="00C059F2">
        <w:t>фирменное наименование финансовой организации, ее местонахождение, фактический адрес, дата госрегистрации в качестве юрлица, ИНН;</w:t>
      </w:r>
    </w:p>
    <w:p w:rsidR="00C059F2" w:rsidRPr="00C059F2" w:rsidRDefault="00C059F2" w:rsidP="00C059F2">
      <w:pPr>
        <w:jc w:val="both"/>
      </w:pPr>
      <w:r w:rsidRPr="00C059F2">
        <w:t>сумма взыскания;</w:t>
      </w:r>
    </w:p>
    <w:p w:rsidR="00C059F2" w:rsidRPr="00C059F2" w:rsidRDefault="00C059F2" w:rsidP="00C059F2">
      <w:pPr>
        <w:jc w:val="both"/>
      </w:pPr>
      <w:r w:rsidRPr="00C059F2">
        <w:t>срок предъявления удостоверения к исполнению;</w:t>
      </w:r>
    </w:p>
    <w:p w:rsidR="00C059F2" w:rsidRPr="00C059F2" w:rsidRDefault="00C059F2" w:rsidP="00C059F2">
      <w:pPr>
        <w:jc w:val="both"/>
      </w:pPr>
      <w:r w:rsidRPr="00C059F2">
        <w:t>подпись уполномоченного и печать.</w:t>
      </w:r>
    </w:p>
    <w:p w:rsidR="00C059F2" w:rsidRPr="00C059F2" w:rsidRDefault="00C059F2" w:rsidP="00C059F2">
      <w:pPr>
        <w:jc w:val="both"/>
      </w:pPr>
      <w:r w:rsidRPr="00C059F2">
        <w:t>Планируется, что удостоверение будет содержать сведения о взыскателе: ФИО гражданина, его дату и место рождения, серию, номер и дату выдачи паспорта или другого документа, удостоверяющего личность, место жительства или пребывания, либо дату и место его госрегистрации в качестве ИП. Если же взыскателем будет организация, то в документе предполагается указывать ее наименование, местонахождение, фактический адрес, дату госрегистрации в качестве юрлица и ИНН.</w:t>
      </w:r>
    </w:p>
    <w:p w:rsidR="00C059F2" w:rsidRPr="00C059F2" w:rsidRDefault="00C059F2" w:rsidP="00C059F2">
      <w:pPr>
        <w:jc w:val="both"/>
      </w:pPr>
      <w:r w:rsidRPr="00C059F2">
        <w:t xml:space="preserve">ГАРАНТ.РУ: </w:t>
      </w:r>
      <w:hyperlink r:id="rId18" w:anchor="ixzz5SdNvIPQb" w:history="1">
        <w:r w:rsidRPr="00C059F2">
          <w:rPr>
            <w:rStyle w:val="a3"/>
          </w:rPr>
          <w:t>http://www.garant.ru/news/1220546/#ixzz5SdNvIPQb</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С 7 октября изменятся правила госрегистрации в ГИБДД автомототранспортных средств и прицепов к ним</w:t>
      </w:r>
    </w:p>
    <w:p w:rsidR="00C059F2" w:rsidRPr="00C059F2" w:rsidRDefault="00C059F2" w:rsidP="00C059F2">
      <w:pPr>
        <w:jc w:val="both"/>
      </w:pPr>
      <w:r w:rsidRPr="00C059F2">
        <w:t>27 сентября 2018</w:t>
      </w:r>
    </w:p>
    <w:p w:rsidR="00C059F2" w:rsidRPr="00C059F2" w:rsidRDefault="00C059F2" w:rsidP="00C059F2">
      <w:pPr>
        <w:jc w:val="both"/>
      </w:pPr>
      <w:r w:rsidRPr="00C059F2">
        <w:t>Приказом МВД России увеличен максимальный срок хранения регистрационных знаков при смене автомобиля – с полугода до года, также увеличен и срок действия регистрационных знаков "ТРАНЗИТ", теперь вместо 20 он будет составлять 30 суток (приказ МВД России от 26 июня 2018 г. № 399).</w:t>
      </w:r>
    </w:p>
    <w:p w:rsidR="00C059F2" w:rsidRPr="00C059F2" w:rsidRDefault="00C059F2" w:rsidP="00C059F2">
      <w:pPr>
        <w:jc w:val="both"/>
      </w:pPr>
      <w:r w:rsidRPr="00C059F2">
        <w:t>Упрощена процедура замены двигателя транспортного средства. В случае его замены на аналогичный по типу и модели сведения о нем будут вноситься в базу данных при проведении регистрационных действий по результатам осмотра. Причем документы на него не потребуются. А регистрация транспортного средства, принадлежащего двум и более собственникам, будет возможна за одним из них при наличии письменного согласия всех остальных. Такое согласие нужно будет подать в регистрационное подразделение Госавтоинспекции.</w:t>
      </w:r>
    </w:p>
    <w:p w:rsidR="00C059F2" w:rsidRPr="00C059F2" w:rsidRDefault="00C059F2" w:rsidP="00C059F2">
      <w:pPr>
        <w:jc w:val="both"/>
      </w:pPr>
      <w:r w:rsidRPr="00C059F2">
        <w:t>Новыми правилами предусматривается возможность постановки на учет транспортных средств с электронными ПТС, оформление которых станет обязательным с 1 ноября 2019 года. При этом паспорт транспортного средства, взамен которого будет оформлен электронный паспорт, начнет считаться недействительным с даты оформления такого паспорта.</w:t>
      </w:r>
    </w:p>
    <w:p w:rsidR="00C059F2" w:rsidRPr="00C059F2" w:rsidRDefault="00C059F2" w:rsidP="00C059F2">
      <w:pPr>
        <w:jc w:val="both"/>
      </w:pPr>
      <w:r w:rsidRPr="00C059F2">
        <w:t>Приказ вступит в силу 7 октября. С этой даты приказ МВД России от 24 ноября 2008 г. № 1001 "О порядке регистрации транспортных средств" утратит силу.</w:t>
      </w:r>
    </w:p>
    <w:p w:rsidR="00C059F2" w:rsidRPr="00C059F2" w:rsidRDefault="00C059F2" w:rsidP="00C059F2">
      <w:pPr>
        <w:jc w:val="both"/>
        <w:rPr>
          <w:lang w:val="en-US"/>
        </w:rPr>
      </w:pPr>
      <w:r w:rsidRPr="00C059F2">
        <w:t xml:space="preserve">ГАРАНТ.РУ: </w:t>
      </w:r>
      <w:hyperlink r:id="rId19" w:anchor="ixzz5SdRUWKqS" w:history="1">
        <w:r w:rsidRPr="00C059F2">
          <w:rPr>
            <w:rStyle w:val="a3"/>
          </w:rPr>
          <w:t>http://www.garant.ru/news/1220657/#ixzz5SdRUWKqS</w:t>
        </w:r>
      </w:hyperlink>
    </w:p>
    <w:p w:rsidR="00C059F2" w:rsidRPr="00C059F2" w:rsidRDefault="00C059F2" w:rsidP="00C059F2">
      <w:pPr>
        <w:jc w:val="both"/>
        <w:rPr>
          <w:lang w:val="en-US"/>
        </w:rPr>
      </w:pPr>
    </w:p>
    <w:p w:rsidR="00C059F2" w:rsidRPr="00C059F2" w:rsidRDefault="00C059F2" w:rsidP="00C059F2">
      <w:pPr>
        <w:jc w:val="both"/>
        <w:rPr>
          <w:b/>
          <w:bCs/>
          <w:u w:val="single"/>
        </w:rPr>
      </w:pPr>
      <w:r w:rsidRPr="00C059F2">
        <w:rPr>
          <w:b/>
          <w:bCs/>
          <w:u w:val="single"/>
        </w:rPr>
        <w:t>Предлагается полностью запретить работу водителем с иностранными правами</w:t>
      </w:r>
    </w:p>
    <w:p w:rsidR="00C059F2" w:rsidRPr="00C059F2" w:rsidRDefault="00C059F2" w:rsidP="00C059F2">
      <w:pPr>
        <w:jc w:val="both"/>
      </w:pPr>
      <w:r w:rsidRPr="00C059F2">
        <w:lastRenderedPageBreak/>
        <w:t>27 сентября 2018</w:t>
      </w:r>
    </w:p>
    <w:p w:rsidR="00C059F2" w:rsidRPr="00C059F2" w:rsidRDefault="00C059F2" w:rsidP="00C059F2">
      <w:pPr>
        <w:jc w:val="both"/>
      </w:pPr>
      <w:r w:rsidRPr="00C059F2">
        <w:t>Сенатор от Карачаево-Черкесской Республики Ахмат Салпагаров предложил признать утратившим силу абз. 2 п. 13 ст. 25 Федерального закона от 10 декабря 1995 г. № 196-ФЗ "О безопасности дорожного движения".</w:t>
      </w:r>
    </w:p>
    <w:p w:rsidR="00C059F2" w:rsidRPr="00C059F2" w:rsidRDefault="00C059F2" w:rsidP="00C059F2">
      <w:pPr>
        <w:jc w:val="both"/>
      </w:pPr>
      <w:r w:rsidRPr="00C059F2">
        <w:t>В данный момент данная норма устанавливает исключение из общего запрета на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для граждан Киргизской Республики, а также граждан государств, законодательство которых закрепляет использование русского языка в качестве официального.</w:t>
      </w:r>
    </w:p>
    <w:p w:rsidR="00C059F2" w:rsidRPr="00C059F2" w:rsidRDefault="00C059F2" w:rsidP="00C059F2">
      <w:pPr>
        <w:jc w:val="both"/>
      </w:pPr>
      <w:r w:rsidRPr="00C059F2">
        <w:t>Авторы законопроекта ссылаются на данные, согласно которым процент аварийности у водителей с иностранными правами многократно выше, чем у водителей, имеющих водительское удостоверение РФ, что объясняется неудовлетворительными знаниями ПДД и недостатком опыта вождения в условиях насыщенного траффика.</w:t>
      </w:r>
    </w:p>
    <w:p w:rsidR="00C059F2" w:rsidRPr="00C059F2" w:rsidRDefault="00C059F2" w:rsidP="00C059F2">
      <w:pPr>
        <w:jc w:val="both"/>
      </w:pPr>
      <w:r w:rsidRPr="00C059F2">
        <w:t>Предполагается, что закон вступит в силу через полгода после его принятия.</w:t>
      </w:r>
    </w:p>
    <w:p w:rsidR="00C059F2" w:rsidRPr="00C059F2" w:rsidRDefault="00C059F2" w:rsidP="00C059F2">
      <w:pPr>
        <w:jc w:val="both"/>
      </w:pPr>
      <w:r w:rsidRPr="00C059F2">
        <w:t xml:space="preserve">ГАРАНТ.РУ: </w:t>
      </w:r>
      <w:hyperlink r:id="rId20" w:anchor="ixzz5SdT9Xolr" w:history="1">
        <w:r w:rsidRPr="00C059F2">
          <w:rPr>
            <w:rStyle w:val="a3"/>
            <w:lang w:val="en-US"/>
          </w:rPr>
          <w:t>http</w:t>
        </w:r>
        <w:r w:rsidRPr="00C059F2">
          <w:rPr>
            <w:rStyle w:val="a3"/>
          </w:rPr>
          <w:t>://</w:t>
        </w:r>
        <w:r w:rsidRPr="00C059F2">
          <w:rPr>
            <w:rStyle w:val="a3"/>
            <w:lang w:val="en-US"/>
          </w:rPr>
          <w:t>www</w:t>
        </w:r>
        <w:r w:rsidRPr="00C059F2">
          <w:rPr>
            <w:rStyle w:val="a3"/>
          </w:rPr>
          <w:t>.</w:t>
        </w:r>
        <w:r w:rsidRPr="00C059F2">
          <w:rPr>
            <w:rStyle w:val="a3"/>
            <w:lang w:val="en-US"/>
          </w:rPr>
          <w:t>garant</w:t>
        </w:r>
        <w:r w:rsidRPr="00C059F2">
          <w:rPr>
            <w:rStyle w:val="a3"/>
          </w:rPr>
          <w:t>.</w:t>
        </w:r>
        <w:r w:rsidRPr="00C059F2">
          <w:rPr>
            <w:rStyle w:val="a3"/>
            <w:lang w:val="en-US"/>
          </w:rPr>
          <w:t>ru</w:t>
        </w:r>
        <w:r w:rsidRPr="00C059F2">
          <w:rPr>
            <w:rStyle w:val="a3"/>
          </w:rPr>
          <w:t>/</w:t>
        </w:r>
        <w:r w:rsidRPr="00C059F2">
          <w:rPr>
            <w:rStyle w:val="a3"/>
            <w:lang w:val="en-US"/>
          </w:rPr>
          <w:t>news</w:t>
        </w:r>
        <w:r w:rsidRPr="00C059F2">
          <w:rPr>
            <w:rStyle w:val="a3"/>
          </w:rPr>
          <w:t>/1220531/#</w:t>
        </w:r>
        <w:r w:rsidRPr="00C059F2">
          <w:rPr>
            <w:rStyle w:val="a3"/>
            <w:lang w:val="en-US"/>
          </w:rPr>
          <w:t>ixzz</w:t>
        </w:r>
        <w:r w:rsidRPr="00C059F2">
          <w:rPr>
            <w:rStyle w:val="a3"/>
          </w:rPr>
          <w:t>5</w:t>
        </w:r>
        <w:r w:rsidRPr="00C059F2">
          <w:rPr>
            <w:rStyle w:val="a3"/>
            <w:lang w:val="en-US"/>
          </w:rPr>
          <w:t>SdT</w:t>
        </w:r>
        <w:r w:rsidRPr="00C059F2">
          <w:rPr>
            <w:rStyle w:val="a3"/>
          </w:rPr>
          <w:t>9</w:t>
        </w:r>
        <w:r w:rsidRPr="00C059F2">
          <w:rPr>
            <w:rStyle w:val="a3"/>
            <w:lang w:val="en-US"/>
          </w:rPr>
          <w:t>Xolr</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Банкам предлагают запретить в одностороннем порядке менять тариф по договору потребительского кредита</w:t>
      </w:r>
    </w:p>
    <w:p w:rsidR="00C059F2" w:rsidRPr="00C059F2" w:rsidRDefault="00C059F2" w:rsidP="00C059F2">
      <w:pPr>
        <w:jc w:val="both"/>
      </w:pPr>
      <w:r w:rsidRPr="00C059F2">
        <w:t>27 сентября 2018</w:t>
      </w:r>
    </w:p>
    <w:p w:rsidR="00C059F2" w:rsidRPr="00C059F2" w:rsidRDefault="00C059F2" w:rsidP="00C059F2">
      <w:pPr>
        <w:jc w:val="both"/>
      </w:pPr>
      <w:r w:rsidRPr="00C059F2">
        <w:t xml:space="preserve">Представители Законодательного Собрания Санкт-Петербурга выступили с инициативой усилить защиту прав заемщиков при заключении соответствующего договора. В частности, предлагается установить правило, согласно которому в договор потребительского кредита нельзя будет включать условие об одностороннем изменении кредитором тарифа по оплате его услуг в течение срока его действия. </w:t>
      </w:r>
    </w:p>
    <w:p w:rsidR="00C059F2" w:rsidRPr="00C059F2" w:rsidRDefault="00C059F2" w:rsidP="00C059F2">
      <w:pPr>
        <w:jc w:val="both"/>
      </w:pPr>
      <w:r w:rsidRPr="00C059F2">
        <w:t>В настоящий момент в такой договор, в частности, не могут быть включены условия:</w:t>
      </w:r>
    </w:p>
    <w:p w:rsidR="00C059F2" w:rsidRPr="00C059F2" w:rsidRDefault="00C059F2" w:rsidP="00C059F2">
      <w:pPr>
        <w:jc w:val="both"/>
      </w:pPr>
      <w:r w:rsidRPr="00C059F2">
        <w:t>о передаче кредитору в качестве обеспечения исполнения обязательств по договору всей суммы потребительского кредита или ее части;</w:t>
      </w:r>
    </w:p>
    <w:p w:rsidR="00C059F2" w:rsidRPr="00C059F2" w:rsidRDefault="00C059F2" w:rsidP="00C059F2">
      <w:pPr>
        <w:jc w:val="both"/>
      </w:pPr>
      <w:r w:rsidRPr="00C059F2">
        <w:t>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после даты ее возникновения;</w:t>
      </w:r>
    </w:p>
    <w:p w:rsidR="00C059F2" w:rsidRPr="00C059F2" w:rsidRDefault="00C059F2" w:rsidP="00C059F2">
      <w:pPr>
        <w:jc w:val="both"/>
      </w:pPr>
      <w:r w:rsidRPr="00C059F2">
        <w:t>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 отдельную плату (ч. 13 ст. 5 Федерального закона от 21 декабря 2013 г. № 353-ФЗ "О потребительском кредите (займе)", далее – закон о потребительском кредите).</w:t>
      </w:r>
    </w:p>
    <w:p w:rsidR="00C059F2" w:rsidRPr="00C059F2" w:rsidRDefault="00C059F2" w:rsidP="00C059F2">
      <w:pPr>
        <w:jc w:val="both"/>
      </w:pPr>
      <w:r w:rsidRPr="00C059F2">
        <w:t>Планируется исключить уступку права (требования) по договору потребительского кредита третьим лицам. Исключением может стать уступка такого права одним кредитором другому с письменного согласия должника. В этих целях предполагается дополнить ч. 13 ст. 5 закона о потребительском кредите новым п. 4, а ч. 1 ст. 12 этого же закона – новым абзацем.</w:t>
      </w:r>
    </w:p>
    <w:p w:rsidR="00C059F2" w:rsidRPr="00C059F2" w:rsidRDefault="00C059F2" w:rsidP="00C059F2">
      <w:pPr>
        <w:jc w:val="both"/>
      </w:pPr>
      <w:r w:rsidRPr="00C059F2">
        <w:t>В случае принятия закон вступит в силу через 10 дней со дня его официального опубликования.</w:t>
      </w:r>
    </w:p>
    <w:p w:rsidR="00C059F2" w:rsidRPr="00C059F2" w:rsidRDefault="00C059F2" w:rsidP="00C059F2">
      <w:pPr>
        <w:jc w:val="both"/>
      </w:pPr>
      <w:r w:rsidRPr="00C059F2">
        <w:t xml:space="preserve">ГАРАНТ.РУ: </w:t>
      </w:r>
      <w:hyperlink r:id="rId21" w:anchor="ixzz5SdQQ5Cli" w:history="1">
        <w:r w:rsidRPr="00C059F2">
          <w:rPr>
            <w:rStyle w:val="a3"/>
          </w:rPr>
          <w:t>http://www.garant.ru/news/1220501/#ixzz5SdQQ5Cli</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Госдума приняла закон о повышении пенсионного возраста</w:t>
      </w:r>
    </w:p>
    <w:p w:rsidR="00C059F2" w:rsidRPr="00C059F2" w:rsidRDefault="00C059F2" w:rsidP="00C059F2">
      <w:pPr>
        <w:jc w:val="both"/>
      </w:pPr>
      <w:r w:rsidRPr="00C059F2">
        <w:t>27 сентября 2018</w:t>
      </w:r>
    </w:p>
    <w:p w:rsidR="00C059F2" w:rsidRPr="00C059F2" w:rsidRDefault="00C059F2" w:rsidP="00C059F2">
      <w:pPr>
        <w:jc w:val="both"/>
      </w:pPr>
      <w:r w:rsidRPr="00C059F2">
        <w:t>Сегодня нижняя палата парламента в третьем окончательном чтении приняла закон о пенсионной реформе. Вчера состоялось второе чтение документа, в рамках которого были одобрены поправки Президента РФ Владимира Путина.</w:t>
      </w:r>
    </w:p>
    <w:p w:rsidR="00C059F2" w:rsidRPr="00C059F2" w:rsidRDefault="00C059F2" w:rsidP="00C059F2">
      <w:pPr>
        <w:jc w:val="both"/>
      </w:pPr>
      <w:r w:rsidRPr="00C059F2">
        <w:t xml:space="preserve">Планируется, что женщины будут выходить на пенсию в 60 лет, а мужчины в 65 лет. Вместе с тем многодетным женщинам будет предоставлено право сделать это раньше, также </w:t>
      </w:r>
      <w:r w:rsidRPr="00C059F2">
        <w:lastRenderedPageBreak/>
        <w:t xml:space="preserve">установлен стаж для досрочного выхода на пенсию: 37 лет для женщин и 42 года – для мужчин. </w:t>
      </w:r>
    </w:p>
    <w:p w:rsidR="00C059F2" w:rsidRPr="00C059F2" w:rsidRDefault="00C059F2" w:rsidP="00C059F2">
      <w:pPr>
        <w:jc w:val="both"/>
      </w:pPr>
      <w:r w:rsidRPr="00C059F2">
        <w:t xml:space="preserve">ГАРАНТ.РУ: </w:t>
      </w:r>
      <w:hyperlink r:id="rId22" w:anchor="ixzz5SdDJN4I8" w:history="1">
        <w:r w:rsidRPr="00C059F2">
          <w:rPr>
            <w:rStyle w:val="a3"/>
            <w:lang w:val="en-US"/>
          </w:rPr>
          <w:t>http</w:t>
        </w:r>
        <w:r w:rsidRPr="00C059F2">
          <w:rPr>
            <w:rStyle w:val="a3"/>
          </w:rPr>
          <w:t>://</w:t>
        </w:r>
        <w:r w:rsidRPr="00C059F2">
          <w:rPr>
            <w:rStyle w:val="a3"/>
            <w:lang w:val="en-US"/>
          </w:rPr>
          <w:t>www</w:t>
        </w:r>
        <w:r w:rsidRPr="00C059F2">
          <w:rPr>
            <w:rStyle w:val="a3"/>
          </w:rPr>
          <w:t>.</w:t>
        </w:r>
        <w:r w:rsidRPr="00C059F2">
          <w:rPr>
            <w:rStyle w:val="a3"/>
            <w:lang w:val="en-US"/>
          </w:rPr>
          <w:t>garant</w:t>
        </w:r>
        <w:r w:rsidRPr="00C059F2">
          <w:rPr>
            <w:rStyle w:val="a3"/>
          </w:rPr>
          <w:t>.</w:t>
        </w:r>
        <w:r w:rsidRPr="00C059F2">
          <w:rPr>
            <w:rStyle w:val="a3"/>
            <w:lang w:val="en-US"/>
          </w:rPr>
          <w:t>ru</w:t>
        </w:r>
        <w:r w:rsidRPr="00C059F2">
          <w:rPr>
            <w:rStyle w:val="a3"/>
          </w:rPr>
          <w:t>/</w:t>
        </w:r>
        <w:r w:rsidRPr="00C059F2">
          <w:rPr>
            <w:rStyle w:val="a3"/>
            <w:lang w:val="en-US"/>
          </w:rPr>
          <w:t>news</w:t>
        </w:r>
        <w:r w:rsidRPr="00C059F2">
          <w:rPr>
            <w:rStyle w:val="a3"/>
          </w:rPr>
          <w:t>/1220642/#</w:t>
        </w:r>
        <w:r w:rsidRPr="00C059F2">
          <w:rPr>
            <w:rStyle w:val="a3"/>
            <w:lang w:val="en-US"/>
          </w:rPr>
          <w:t>ixzz</w:t>
        </w:r>
        <w:r w:rsidRPr="00C059F2">
          <w:rPr>
            <w:rStyle w:val="a3"/>
          </w:rPr>
          <w:t>5</w:t>
        </w:r>
        <w:r w:rsidRPr="00C059F2">
          <w:rPr>
            <w:rStyle w:val="a3"/>
            <w:lang w:val="en-US"/>
          </w:rPr>
          <w:t>SdDJN</w:t>
        </w:r>
        <w:r w:rsidRPr="00C059F2">
          <w:rPr>
            <w:rStyle w:val="a3"/>
          </w:rPr>
          <w:t>4</w:t>
        </w:r>
        <w:r w:rsidRPr="00C059F2">
          <w:rPr>
            <w:rStyle w:val="a3"/>
            <w:lang w:val="en-US"/>
          </w:rPr>
          <w:t>I</w:t>
        </w:r>
        <w:r w:rsidRPr="00C059F2">
          <w:rPr>
            <w:rStyle w:val="a3"/>
          </w:rPr>
          <w:t>8</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С 1 октября порядок маркировки алкогольной продукции будет изменен</w:t>
      </w:r>
    </w:p>
    <w:p w:rsidR="00C059F2" w:rsidRPr="00C059F2" w:rsidRDefault="00C059F2" w:rsidP="00C059F2">
      <w:pPr>
        <w:jc w:val="both"/>
      </w:pPr>
      <w:r w:rsidRPr="00C059F2">
        <w:t>28 сентября 2018</w:t>
      </w:r>
    </w:p>
    <w:p w:rsidR="00C059F2" w:rsidRPr="00C059F2" w:rsidRDefault="00C059F2" w:rsidP="00C059F2">
      <w:pPr>
        <w:jc w:val="both"/>
      </w:pPr>
      <w:r w:rsidRPr="00C059F2">
        <w:t>C 1 октября производители и импортеры алкогольной продукции будут маркировать алкогольную продукцию специальными марками и акцизными марками, на которые организация-изготовитель будет наносить двухмерный штрихкод с идентификатором ЕГАИС. Данный идентификатор позволяет идентифицировать саму марку и маркируемую ими алкогольную продукцию.</w:t>
      </w:r>
    </w:p>
    <w:p w:rsidR="00C059F2" w:rsidRPr="00C059F2" w:rsidRDefault="00C059F2" w:rsidP="00C059F2">
      <w:pPr>
        <w:jc w:val="both"/>
      </w:pPr>
      <w:r w:rsidRPr="00C059F2">
        <w:t>Согласно новому Постановлению Правительства РФ от 27 сентября 2017 г. № 1140 вместе с двухмерным штриховым кодом на специальных марках и акцизных марках должны будут указываться и наименование алкогольной продукции, ее вид, страна происхождения, содержание этилового спирта и другие сведения. С 1 июля в Федеральный закон от 22 ноября 1995 года вступили в силу поправки, согласно которым кроме штрих-кода не предусмотрено указание подробных вышеуказанных сведений (п. 3 ст. 7 Федерального закона от 28 декабря 2017 г. № 433-ФЗ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p w:rsidR="00C059F2" w:rsidRPr="00C059F2" w:rsidRDefault="00C059F2" w:rsidP="00C059F2">
      <w:pPr>
        <w:jc w:val="both"/>
      </w:pPr>
      <w:r w:rsidRPr="00C059F2">
        <w:t>При этом будут применяться порядки маркировки, установленные:</w:t>
      </w:r>
    </w:p>
    <w:p w:rsidR="00C059F2" w:rsidRPr="00C059F2" w:rsidRDefault="00C059F2" w:rsidP="00C059F2">
      <w:pPr>
        <w:jc w:val="both"/>
      </w:pPr>
      <w:r w:rsidRPr="00C059F2">
        <w:t>Правилами маркировки алкогольной продукции федеральными специальными марками и Правила нанесения на них сведений о маркируемой продукции, утв. Постановлением Правительства РФ от 21 декабря 2005 г. № 785 (далее – Постановление № 785);</w:t>
      </w:r>
    </w:p>
    <w:p w:rsidR="00C059F2" w:rsidRPr="00C059F2" w:rsidRDefault="00C059F2" w:rsidP="00C059F2">
      <w:pPr>
        <w:jc w:val="both"/>
      </w:pPr>
      <w:r w:rsidRPr="00C059F2">
        <w:t>Правилами маркировки алкогольной продукции акцизными марками и Правилами нанесения на них сведений о маркируемой продукции, утв. Постановлением Правительства РФ от 31 декабря 2005 № 866 (далее – Постановление № 866).</w:t>
      </w:r>
    </w:p>
    <w:p w:rsidR="00C059F2" w:rsidRPr="00C059F2" w:rsidRDefault="00C059F2" w:rsidP="00C059F2">
      <w:pPr>
        <w:jc w:val="both"/>
      </w:pPr>
      <w:r w:rsidRPr="00C059F2">
        <w:t>Причем эти документы будут применяться в редакциях, действующих до 1 октября этого года. До 1 января 2019 года организациям-производителям будет разрешено выдавать специальные марки по требованиям к образцам, утв. Постановлением № 785, а импортерам – акцизные марки по требованиям к образцам, утв. Постановлением № 866.</w:t>
      </w:r>
    </w:p>
    <w:p w:rsidR="00C059F2" w:rsidRPr="00C059F2" w:rsidRDefault="00C059F2" w:rsidP="00C059F2">
      <w:pPr>
        <w:jc w:val="both"/>
      </w:pPr>
      <w:r w:rsidRPr="00C059F2">
        <w:t>Стоимость самих марок снижена.</w:t>
      </w:r>
    </w:p>
    <w:p w:rsidR="00C059F2" w:rsidRPr="00C059F2" w:rsidRDefault="00C059F2" w:rsidP="00C059F2">
      <w:pPr>
        <w:jc w:val="both"/>
      </w:pPr>
      <w:r w:rsidRPr="00C059F2">
        <w:t xml:space="preserve">ГАРАНТ.РУ: </w:t>
      </w:r>
      <w:hyperlink r:id="rId23" w:anchor="ixzz5Sf3Ewvl2" w:history="1">
        <w:r w:rsidRPr="00C059F2">
          <w:rPr>
            <w:rStyle w:val="a3"/>
          </w:rPr>
          <w:t>http://www.garant.ru/news/1220856/#ixzz5Sf3Ewvl2</w:t>
        </w:r>
      </w:hyperlink>
    </w:p>
    <w:p w:rsidR="00C059F2" w:rsidRPr="00C059F2" w:rsidRDefault="00C059F2" w:rsidP="00C059F2">
      <w:pPr>
        <w:jc w:val="both"/>
      </w:pPr>
    </w:p>
    <w:p w:rsidR="00C059F2" w:rsidRPr="00C059F2" w:rsidRDefault="00C059F2" w:rsidP="00C059F2">
      <w:pPr>
        <w:jc w:val="both"/>
        <w:rPr>
          <w:b/>
          <w:bCs/>
          <w:u w:val="single"/>
        </w:rPr>
      </w:pPr>
      <w:r w:rsidRPr="00C059F2">
        <w:rPr>
          <w:b/>
          <w:bCs/>
          <w:u w:val="single"/>
        </w:rPr>
        <w:t>Разработан порядок исключения юрлиц из реестра таможенных представителей</w:t>
      </w:r>
    </w:p>
    <w:p w:rsidR="00C059F2" w:rsidRPr="00C059F2" w:rsidRDefault="00C059F2" w:rsidP="00C059F2">
      <w:pPr>
        <w:jc w:val="both"/>
      </w:pPr>
      <w:r w:rsidRPr="00C059F2">
        <w:t>28 сентября 2018</w:t>
      </w:r>
    </w:p>
    <w:p w:rsidR="00C059F2" w:rsidRPr="00C059F2" w:rsidRDefault="00C059F2" w:rsidP="00C059F2">
      <w:pPr>
        <w:jc w:val="both"/>
      </w:pPr>
      <w:r w:rsidRPr="00C059F2">
        <w:t>Согласно проекту приказа ФТС России его уполномоченные должностные лица будут принимать решение об исключении юрлица из реестра:</w:t>
      </w:r>
    </w:p>
    <w:p w:rsidR="00C059F2" w:rsidRPr="00C059F2" w:rsidRDefault="00C059F2" w:rsidP="00C059F2">
      <w:pPr>
        <w:jc w:val="both"/>
      </w:pPr>
      <w:r w:rsidRPr="00C059F2">
        <w:t>в течение трех рабочих дней со дня несоблюдения условий включения в реестр таможенных представителей;</w:t>
      </w:r>
    </w:p>
    <w:p w:rsidR="00C059F2" w:rsidRPr="00C059F2" w:rsidRDefault="00C059F2" w:rsidP="00C059F2">
      <w:pPr>
        <w:jc w:val="both"/>
      </w:pPr>
      <w:r w:rsidRPr="00C059F2">
        <w:t>в течение одного рабочего дня со дня неисполнения обязанности юрлицом, осуществляющим деятельность в сфере таможенного дела, по внесению обеспечения в размере не менее €500 тыс., а  также юрлицом, сфера деятельности которого в качестве таможенного представителя будет ограничена совершением таможенных операций в отношении товаров, не облагаемых вывозными таможенными пошлинами и помещаемых под таможенную процедуру экспорта, – по внесению обеспечения в размере, определяемом законодательством государств-членов ЕАЭС;</w:t>
      </w:r>
    </w:p>
    <w:p w:rsidR="00C059F2" w:rsidRPr="00C059F2" w:rsidRDefault="00C059F2" w:rsidP="00C059F2">
      <w:pPr>
        <w:jc w:val="both"/>
      </w:pPr>
      <w:r w:rsidRPr="00C059F2">
        <w:t>в течение одного рабочего дня со дня получения таможенным органом уведомления о ликвидации или реорганизции (за исключением случаев, устанавливаемых законодательством государств-членов ЕАЭС) юрлица, включенного в реестр таможенных представителей.</w:t>
      </w:r>
    </w:p>
    <w:p w:rsidR="00C059F2" w:rsidRPr="00C059F2" w:rsidRDefault="00C059F2" w:rsidP="00C059F2">
      <w:pPr>
        <w:jc w:val="both"/>
      </w:pPr>
      <w:r w:rsidRPr="00C059F2">
        <w:lastRenderedPageBreak/>
        <w:t>Срок отмены такого решения будет зависеть от основания его принятия и уведомление об этом станут размещать в Единой автоматизированной информационной системе таможенных органов. Для исключении юрлица из реестра уполномоченное должностное лицо ФТС России будет готовить специальный лист согласования. При этом планируется, что уведомление об исключении юрлица из реестра будет оформляться письмом ФТС России с мотивированным обоснованием  принятия такого решения (одно из двух) и направляться юрлицу, в отношении которого оно принято. Оно будет оформляться в электронной форме должностным лицом ведомства с использованием сервиса "Личный кабинет участника ВЭД" на официальном сайте ФТС России или в письменной форме не позднее одного рабочего дня, следующего за днем принятия решения.</w:t>
      </w:r>
    </w:p>
    <w:p w:rsidR="00C059F2" w:rsidRPr="00C059F2" w:rsidRDefault="00C059F2" w:rsidP="00C059F2">
      <w:pPr>
        <w:jc w:val="both"/>
      </w:pPr>
      <w:r w:rsidRPr="00C059F2">
        <w:t>В случае принятия приказ вступит в силу по истечении 30 дней после дня его официального опубликования. Публичное обсуждение и независимая антикоррупционная экспертиза документа завершатся 18 октября.</w:t>
      </w:r>
    </w:p>
    <w:p w:rsidR="00C059F2" w:rsidRPr="00C059F2" w:rsidRDefault="00C059F2" w:rsidP="00C059F2">
      <w:pPr>
        <w:jc w:val="both"/>
      </w:pPr>
      <w:r w:rsidRPr="00C059F2">
        <w:t xml:space="preserve">ГАРАНТ.РУ: </w:t>
      </w:r>
      <w:hyperlink r:id="rId24" w:anchor="ixzz5Sf5wiMJR" w:history="1">
        <w:r w:rsidRPr="00C059F2">
          <w:rPr>
            <w:rStyle w:val="a3"/>
          </w:rPr>
          <w:t>http://www.garant.ru/news/1220854/#ixzz5Sf5wiMJR</w:t>
        </w:r>
      </w:hyperlink>
    </w:p>
    <w:p w:rsidR="005235E0" w:rsidRPr="00D5517E" w:rsidRDefault="005235E0" w:rsidP="00E2393B">
      <w:pPr>
        <w:jc w:val="both"/>
      </w:pPr>
      <w:bookmarkStart w:id="0" w:name="_GoBack"/>
      <w:bookmarkEnd w:id="0"/>
    </w:p>
    <w:sectPr w:rsidR="005235E0" w:rsidRPr="00D55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A6D29"/>
    <w:multiLevelType w:val="multilevel"/>
    <w:tmpl w:val="18281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A2C1C"/>
    <w:multiLevelType w:val="multilevel"/>
    <w:tmpl w:val="B7EA0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BA"/>
    <w:rsid w:val="000063E1"/>
    <w:rsid w:val="000F5807"/>
    <w:rsid w:val="001E1181"/>
    <w:rsid w:val="002568CE"/>
    <w:rsid w:val="003E1ABA"/>
    <w:rsid w:val="004D3C8C"/>
    <w:rsid w:val="005235E0"/>
    <w:rsid w:val="00681BCC"/>
    <w:rsid w:val="00682DEC"/>
    <w:rsid w:val="008022D1"/>
    <w:rsid w:val="00C059F2"/>
    <w:rsid w:val="00D5517E"/>
    <w:rsid w:val="00D858DD"/>
    <w:rsid w:val="00E2393B"/>
    <w:rsid w:val="00ED0D7F"/>
    <w:rsid w:val="00F52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8D76-2E0F-4E48-B41D-D86B27D7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3E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63E1"/>
    <w:rPr>
      <w:color w:val="0000FF"/>
      <w:u w:val="single"/>
    </w:rPr>
  </w:style>
  <w:style w:type="character" w:styleId="a4">
    <w:name w:val="Strong"/>
    <w:basedOn w:val="a0"/>
    <w:uiPriority w:val="22"/>
    <w:qFormat/>
    <w:rsid w:val="000063E1"/>
    <w:rPr>
      <w:b/>
      <w:bCs/>
    </w:rPr>
  </w:style>
  <w:style w:type="character" w:styleId="a5">
    <w:name w:val="Emphasis"/>
    <w:basedOn w:val="a0"/>
    <w:uiPriority w:val="20"/>
    <w:qFormat/>
    <w:rsid w:val="000063E1"/>
    <w:rPr>
      <w:i/>
      <w:iCs/>
    </w:rPr>
  </w:style>
  <w:style w:type="paragraph" w:styleId="a6">
    <w:name w:val="Balloon Text"/>
    <w:basedOn w:val="a"/>
    <w:link w:val="a7"/>
    <w:uiPriority w:val="99"/>
    <w:semiHidden/>
    <w:unhideWhenUsed/>
    <w:rsid w:val="001E1181"/>
    <w:rPr>
      <w:rFonts w:ascii="Segoe UI" w:hAnsi="Segoe UI" w:cs="Segoe UI"/>
      <w:sz w:val="18"/>
      <w:szCs w:val="18"/>
    </w:rPr>
  </w:style>
  <w:style w:type="character" w:customStyle="1" w:styleId="a7">
    <w:name w:val="Текст выноски Знак"/>
    <w:basedOn w:val="a0"/>
    <w:link w:val="a6"/>
    <w:uiPriority w:val="99"/>
    <w:semiHidden/>
    <w:rsid w:val="001E1181"/>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658473">
      <w:bodyDiv w:val="1"/>
      <w:marLeft w:val="0"/>
      <w:marRight w:val="0"/>
      <w:marTop w:val="0"/>
      <w:marBottom w:val="0"/>
      <w:divBdr>
        <w:top w:val="none" w:sz="0" w:space="0" w:color="auto"/>
        <w:left w:val="none" w:sz="0" w:space="0" w:color="auto"/>
        <w:bottom w:val="none" w:sz="0" w:space="0" w:color="auto"/>
        <w:right w:val="none" w:sz="0" w:space="0" w:color="auto"/>
      </w:divBdr>
    </w:div>
    <w:div w:id="152451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news/1218725/" TargetMode="External"/><Relationship Id="rId13" Type="http://schemas.openxmlformats.org/officeDocument/2006/relationships/hyperlink" Target="http://www.garant.ru/news/1220200/" TargetMode="External"/><Relationship Id="rId18" Type="http://schemas.openxmlformats.org/officeDocument/2006/relationships/hyperlink" Target="http://www.garant.ru/news/122054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arant.ru/news/1220501/" TargetMode="External"/><Relationship Id="rId7" Type="http://schemas.openxmlformats.org/officeDocument/2006/relationships/hyperlink" Target="http://www.garant.ru/news/1219981/" TargetMode="External"/><Relationship Id="rId12" Type="http://schemas.openxmlformats.org/officeDocument/2006/relationships/hyperlink" Target="http://www.garant.ru/news/1220210/" TargetMode="External"/><Relationship Id="rId17" Type="http://schemas.openxmlformats.org/officeDocument/2006/relationships/hyperlink" Target="http://www.garant.ru/news/122047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rant.ru/news/1220489/" TargetMode="External"/><Relationship Id="rId20" Type="http://schemas.openxmlformats.org/officeDocument/2006/relationships/hyperlink" Target="http://www.garant.ru/news/1220531/" TargetMode="External"/><Relationship Id="rId1" Type="http://schemas.openxmlformats.org/officeDocument/2006/relationships/numbering" Target="numbering.xml"/><Relationship Id="rId6" Type="http://schemas.openxmlformats.org/officeDocument/2006/relationships/hyperlink" Target="http://www.garant.ru/news/1220160/" TargetMode="External"/><Relationship Id="rId11" Type="http://schemas.openxmlformats.org/officeDocument/2006/relationships/hyperlink" Target="http://www.garant.ru/files/0/1/1220210/pismo_ministerstva_zdravoohraneniya_rf_ot_15_avgusta_2018_g__n_11-8-10-2-5437_o_.rtf" TargetMode="External"/><Relationship Id="rId24" Type="http://schemas.openxmlformats.org/officeDocument/2006/relationships/hyperlink" Target="http://www.garant.ru/news/1220854/" TargetMode="External"/><Relationship Id="rId5" Type="http://schemas.openxmlformats.org/officeDocument/2006/relationships/hyperlink" Target="http://www.garant.ru/news/1219667/" TargetMode="External"/><Relationship Id="rId15" Type="http://schemas.openxmlformats.org/officeDocument/2006/relationships/hyperlink" Target="http://www.garant.ru/news/1220187/" TargetMode="External"/><Relationship Id="rId23" Type="http://schemas.openxmlformats.org/officeDocument/2006/relationships/hyperlink" Target="http://www.garant.ru/news/1220856/" TargetMode="External"/><Relationship Id="rId10" Type="http://schemas.openxmlformats.org/officeDocument/2006/relationships/hyperlink" Target="http://www.garant.ru/news/1220189/" TargetMode="External"/><Relationship Id="rId19" Type="http://schemas.openxmlformats.org/officeDocument/2006/relationships/hyperlink" Target="http://www.garant.ru/news/1220657/" TargetMode="External"/><Relationship Id="rId4" Type="http://schemas.openxmlformats.org/officeDocument/2006/relationships/webSettings" Target="webSettings.xml"/><Relationship Id="rId9" Type="http://schemas.openxmlformats.org/officeDocument/2006/relationships/hyperlink" Target="http://www.garant.ru/news/1220152/" TargetMode="External"/><Relationship Id="rId14" Type="http://schemas.openxmlformats.org/officeDocument/2006/relationships/hyperlink" Target="http://www.garant.ru/news/1220177/" TargetMode="External"/><Relationship Id="rId22" Type="http://schemas.openxmlformats.org/officeDocument/2006/relationships/hyperlink" Target="http://www.garant.ru/news/1220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5317</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ZhaboMA</dc:creator>
  <cp:keywords/>
  <dc:description/>
  <cp:lastModifiedBy>ZhaboMA</cp:lastModifiedBy>
  <cp:revision>18</cp:revision>
  <cp:lastPrinted>2018-09-26T11:08:00Z</cp:lastPrinted>
  <dcterms:created xsi:type="dcterms:W3CDTF">2018-08-16T05:39:00Z</dcterms:created>
  <dcterms:modified xsi:type="dcterms:W3CDTF">2018-10-01T07:39:00Z</dcterms:modified>
</cp:coreProperties>
</file>