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Планируется закрепить норму о включении в Единый федеральный реестр турагентов сведений об их деятельности</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Правительство РФ представило в Госдуму законопроект "О внесении изменений в Федеральный закон от 24 ноября 1996 г. № 132-ФЗ "Об основах туристской деятельности в Российской Федерации" (далее – Закон) в части регулирования деятельности туристических агентов.</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Так, предлагается дополнить Закон ст. 4.3, в которой регламентировать, что сведения о лицах, осуществляющих турагентскую деятельность, подлежат внесению в Единый федеральный реестр турагентов, который будет функционировать в электронной форме во взаимодействии с иными федеральными информационными системами и системами туроператоров и турагентов. Предполагается, что функции по установлению порядка ведения реестра будут возложены на Минэкономразвития России.</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Согласно законопроекту в Единый реестр турагентов помимо общих идентификационных сведений о юрлице (ИП) – турагенте, которые будут сформированы автоматически на основании сведений из ЕГРЮЛ и ЕГРИП, подлежат включению следующие сведения:</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о наличии заключенного договора между туроператором и турагентом с указанием на возможность (невозможность) реализации турпродукта третьим лицом (далее – субагентом);</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о наличии договора поручения туроператора по реализации турпродукта, заключенного между субагентом и турагентом, с указанием на возможность (невозможность) дальнейшей передачи таким субагентом полномочий по реализации турпродукта иному субагенту;</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регистрационный номер турагента (субагента) в реестре турагентов;</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дата размещения туроператором указанных сведений о заключенных договорах с турагентом, которому туроператор поручает продвижение и реализацию турпродукта;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дата размещения турагентом сведений в случае наличия договора субагентирования, предусматривающего передачу исполнения поручения по продвижению и реализации турпродукта;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дата внесения уполномоченным федеральным органом исполнительной власти изменений в сведения о турагенте (субагенте) в реестр турагентов;</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дата принятия решения об исключении сведений о турагенте (субагенте) из реестра турагентов и номер указанного решения.</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Сведения о заключенных договорах (об их изменении или прекращении) – туроператор о заключенных с турагентом, а турагент о заключенных с субагентом – смогут вносить в Единый реестр турагентов через личные кабинеты на официальном сайте ответственного федерального органа не позднее трех дней со дня заключения (изменения или прекращения) договора.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5" w:anchor="ixzz6BdtYcVpI" w:history="1">
        <w:r w:rsidRPr="008B428B">
          <w:rPr>
            <w:rFonts w:ascii="Times New Roman" w:eastAsia="Calibri" w:hAnsi="Times New Roman" w:cs="Times New Roman"/>
            <w:color w:val="0563C1"/>
            <w:sz w:val="24"/>
            <w:szCs w:val="24"/>
            <w:u w:val="single"/>
          </w:rPr>
          <w:t>http://www.garant.ru/news/1313500/#ixzz6BdtYcVpI</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Сведения о направлении средств маткапитала на приобретение жилья планируется заносить в реестр прав на недвижимость</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Депутат Госдумы Ирина Яровая направила в нижнюю палату парламента законопроект, предусматривающий внесение соответствующих поправок в отдельные федеральные законы.</w:t>
      </w:r>
    </w:p>
    <w:p w:rsidR="008B428B" w:rsidRPr="008B428B" w:rsidRDefault="008B428B" w:rsidP="008B428B">
      <w:pPr>
        <w:spacing w:after="0" w:line="240" w:lineRule="auto"/>
        <w:jc w:val="both"/>
        <w:rPr>
          <w:rFonts w:ascii="Times New Roman" w:eastAsia="Calibri" w:hAnsi="Times New Roman" w:cs="Times New Roman"/>
          <w:sz w:val="24"/>
          <w:szCs w:val="24"/>
        </w:rPr>
      </w:pP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В частности, предлагается расширить перечень дополнительных сведений, отражаемых в реестре прав на недвижимость. В него планируется включить сведения об использовании средств материнского (семейного) капитала, направленных на улучшение жилищных условий. Речь идет о сведениях:</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о лице, получившем сертификат (его Ф. И. О., паспортные данные, сведения о детях, страховой номер индивидуального лицевого счета в системе ОПС);</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lastRenderedPageBreak/>
        <w:t>- об объекте недвижимости в зависимости от вида договора, на основании которого приобретено жилое помещение (кадастровый номер объекта недвижимости, номер госрегистрации договора участия в долевом строительстве, кадастровый номер земельного участка или кадастровые номера земельного участка и находящегося на нем объекта индивидуального жилищного строительства).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Предполагается, что ПФР и его территориальные органы будут обязаны направлять указанные сведения в орган регистрации прав в срок не более чем три рабочих дня со дня перевода средств материнского капитала для улучшения жилищных условий. По мнению автора законопроекта, это позволит следить за соблюдением прав на квартиру несовершеннолетних детей, а также сделает прозрачной полную информацию о недвижимости для возможных следующих покупателей имущества.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6" w:anchor="ixzz6BduGcux8" w:history="1">
        <w:r w:rsidRPr="008B428B">
          <w:rPr>
            <w:rFonts w:ascii="Times New Roman" w:eastAsia="Calibri" w:hAnsi="Times New Roman" w:cs="Times New Roman"/>
            <w:color w:val="0563C1"/>
            <w:sz w:val="24"/>
            <w:szCs w:val="24"/>
            <w:u w:val="single"/>
          </w:rPr>
          <w:t>http://www.garant.ru/news/1313526/#ixzz6BduGcux8</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Уточнен порядок проведения запроса котировок в электронной форме</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С 1 июля 2020 года вступает в силу новая редакция ст. 82.1 Закона № 44-ФЗ "О контрактной системе в сфере закупок товаров, работ, услуг для обеспечения государственных и муниципальных нужд", в соответствии с которой устанавливается порядок проведения запроса котировок в электронной форме (далее также – запрос котировок) (Федеральный закон от 27 декабря 2019 г.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В частности, согласно изменениям, внесенным в ч. 2 ст. 82.1 Закона № 44-ФЗ, с 500 тыс. руб. до 3 млн руб. увеличивается предельное значение НМЦК, при котором заказчики вправе осуществлять закупки указанным способом. Годовой объем таких закупок не должен превышать 10% СГОЗ заказчика, при этом исключается ограничение годового объема закупок, осуществляемых путем проведения запроса котировок, который в настоящее время не должен превышать 100 млн руб.</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Кроме этого, с 5 до 4 дней сокращен минимальный срок подачи заявок участниками, который исчисляется со дня, следующего за днем размещения в ЕИС извещения о проведении запроса котировок в электронной форме.</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7" w:anchor="ixzz6BduVwMRV" w:history="1">
        <w:r w:rsidRPr="008B428B">
          <w:rPr>
            <w:rFonts w:ascii="Times New Roman" w:eastAsia="Calibri" w:hAnsi="Times New Roman" w:cs="Times New Roman"/>
            <w:color w:val="0563C1"/>
            <w:sz w:val="24"/>
            <w:szCs w:val="24"/>
            <w:u w:val="single"/>
          </w:rPr>
          <w:t>http://www.garant.ru/news/1313465/#ixzz6BduVwMRV</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Налоговая служба разъяснила особенности уплаты НПД</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В связи с тем, что с нового года к эксперименту по установлению спецрежима "Налог на профессиональный доход" присоединилось еще 19 регионов, налоговая служба опубликовала разъяснения по вопросу исчисления и уплаты налога (письмо ФНС России от 13 декабря 2019 г. № ЕД-2-20/1521@).</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Так, согласно налоговому законодательству первым налоговым периодом по НПД будет считаться период времени с момента постановки физлица на учет в качестве плательщика НПД и до конца следующего календарного месяца (п. 2 ст. 9 Федерального закона от 27 ноября 2018 г. № 422-ФЗ, далее – Закон № 422-ФЗ).</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Если расчет с покупателем производится наличными денежными средствами или с использованием электронных средств платежа, то налогоплательщик должен сформировать кассовый чек и передать его покупателю в момент расчета (п. 3 ст. 14 Закона № 422-ФЗ). При иных формах денежных расчетов в безналичном порядке чек нужно сформировать и передать покупателю (заказчику) не позднее 9 числа месяца, следующего за налоговым периодом, в котором произведены расчеты.</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Сумму налогов, подлежащую уплате по итогам налогового периода, налоговый орган рассчитывает самостоятельно не позднее 12 числа месяца, следующего за истекшим налоговым периодом (п. 2 ст. 11 Закона № 422-ФЗ). Найти ее можно в мобильном приложении "Мой налог". Там же будут указаны и реквизиты для его уплаты, произвести </w:t>
      </w:r>
      <w:r w:rsidRPr="008B428B">
        <w:rPr>
          <w:rFonts w:ascii="Times New Roman" w:eastAsia="Calibri" w:hAnsi="Times New Roman" w:cs="Times New Roman"/>
          <w:sz w:val="24"/>
          <w:szCs w:val="24"/>
        </w:rPr>
        <w:lastRenderedPageBreak/>
        <w:t>которую налогоплательщику НПД нужно будет до 25 числа этого же месяца по месту ведения своей деятельности (п. 3 ст. 11 Закона № 422-ФЗ).</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8" w:anchor="ixzz6BdugnKgB" w:history="1">
        <w:r w:rsidRPr="008B428B">
          <w:rPr>
            <w:rFonts w:ascii="Times New Roman" w:eastAsia="Calibri" w:hAnsi="Times New Roman" w:cs="Times New Roman"/>
            <w:color w:val="0563C1"/>
            <w:sz w:val="24"/>
            <w:szCs w:val="24"/>
            <w:u w:val="single"/>
          </w:rPr>
          <w:t>http://www.garant.ru/news/1313808/#ixzz6BdugnKgB</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С 10 января выросли тарифы на предоставление сведений из ЕГРН</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10 января 2020 года вступили в силу изменения (приказ Министерства экономического развития Российской Федерации от 25 декабря 2019 г. № 839 "О внесении изменений в приложения № 1, 2 к приказу Минэкономразвития России от 10 мая 2016 г. № 291 "Об установлении размеров платы за предоставление сведений, содержащихся в Едином государственном реестре недвижимости") в приказ Минэкономразвития России от 10 мая 2016 г. № 291, которым установлены размеры платы за предоставление сведений, содержащихся в Едином государственном реестре недвижимости (далее – ЕГРН).</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С указанной даты расценки увеличились.</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К примеру, стоимость бумажной выписки из ЕГРН об основных характеристиках и зарегистрированных правах на объект недвижимости для граждан теперь составляет 460 руб. (ранее – 400 руб.), а электронной – 290 руб. (ранее – 250 руб.); для юрлиц – 1270 руб. и 820 руб. соответственно (ранее 1100 руб. и 700 руб.). В такую же сумму обойдется и справка о лицах, получивших сведения об объекте недвижимого имущества. За получение бумажной выписки о содержании правоустанавливающих документов гражданам придется заплатить 680 руб. (ранее – 600 руб.), а электронной – 450 руб. (ранее – 400 руб.). Для юрлиц плата за получение указанной выписки теперь составляет 1930 руб. и 900 руб. соответственно (ранее – 1700 руб. и 800 руб.).</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9" w:anchor="ixzz6Bdux24ug" w:history="1">
        <w:r w:rsidRPr="008B428B">
          <w:rPr>
            <w:rFonts w:ascii="Times New Roman" w:eastAsia="Calibri" w:hAnsi="Times New Roman" w:cs="Times New Roman"/>
            <w:color w:val="0563C1"/>
            <w:sz w:val="24"/>
            <w:szCs w:val="24"/>
            <w:u w:val="single"/>
          </w:rPr>
          <w:t>http://www.garant.ru/news/1313747/#ixzz6Bdux24ug</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У субъектов МСП появилась возможность рефинансировать старый кредит по ставке 8,5%</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Минэкономразвития России внесло изменения в программу льготного кредитования субъектов МСП. Соответствующие поправки внесены в постановление Правительства РФ от 30 декабря 2018 г.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по льготной ставке" (далее – Постановление) и вступили в действие с 31 декабря 2019 года.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Так, в п. 4 Постановления предусмотрено увеличение числа предпринимателей, которые смогут получить доступ к получению кредитов по льготной ставке. В частности, теперь кредит для рефинансирования кредита, ранее предоставленного заемщику в рублях по кредитному договору на инвестиционные цели в пределах срока этого договора, могут выдать по ставке не более 8,5%. Также предприниматель сможет получить новый вид кредита "на развитие предпринимательской деятельности". Условия такого кредитования предусматривают получение заемщиком до 10 млн руб. кредитных средств на срок до пяти лет по льготной ставке, не превышающей 9,95% годовых, на период предоставления банку соответствующей субсидии.</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Согласно новым правилам заемщиком по кредитным договорам на инвестиционные цели, на пополнение оборотных средств, на рефинансирование, а также на развитие предпринимательской деятельности могут быть и физические лица, применяющие специальный налоговый режим "Налог на профессиональный доход". Кредит на развитие предпринимательства также доступен для любых субъектов МСП, относящихся к категории "микропредприятие".</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Напомним, программа льготного кредитования субъектов МСП реализуется с 2019 года в рамках национального проекта "Малое и среднее предпринимательство и поддержка индивидуальной предпринимательской инициативы", утв. президиумом Совета при Президенте РФ по стратегическому развитию и национальным проектам 24 декабря 2018 г. </w:t>
      </w:r>
      <w:r w:rsidRPr="008B428B">
        <w:rPr>
          <w:rFonts w:ascii="Times New Roman" w:eastAsia="Calibri" w:hAnsi="Times New Roman" w:cs="Times New Roman"/>
          <w:sz w:val="24"/>
          <w:szCs w:val="24"/>
        </w:rPr>
        <w:lastRenderedPageBreak/>
        <w:t>№ 16. Для участия в реализации программы льготного кредитования субъектов МСП Минэкономразвития России в июле 2019 года отобрано 90 уполномоченных банков.</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10" w:anchor="ixzz6BdvBGEHB" w:history="1">
        <w:r w:rsidRPr="008B428B">
          <w:rPr>
            <w:rFonts w:ascii="Times New Roman" w:eastAsia="Calibri" w:hAnsi="Times New Roman" w:cs="Times New Roman"/>
            <w:color w:val="0563C1"/>
            <w:sz w:val="24"/>
            <w:szCs w:val="24"/>
            <w:u w:val="single"/>
          </w:rPr>
          <w:t>http://www.garant.ru/news/1313972/#ixzz6BdvBGEHB</w:t>
        </w:r>
      </w:hyperlink>
    </w:p>
    <w:p w:rsidR="008B428B" w:rsidRPr="008B428B" w:rsidRDefault="008B428B" w:rsidP="008B428B">
      <w:pPr>
        <w:spacing w:after="0" w:line="240" w:lineRule="auto"/>
        <w:jc w:val="both"/>
        <w:rPr>
          <w:rFonts w:ascii="Times New Roman" w:eastAsia="Calibri" w:hAnsi="Times New Roman" w:cs="Times New Roman"/>
          <w:b/>
          <w:bCs/>
          <w:sz w:val="24"/>
          <w:szCs w:val="24"/>
        </w:rPr>
      </w:pPr>
      <w:r w:rsidRPr="008B428B">
        <w:rPr>
          <w:rFonts w:ascii="Times New Roman" w:eastAsia="Calibri" w:hAnsi="Times New Roman" w:cs="Times New Roman"/>
          <w:b/>
          <w:bCs/>
          <w:sz w:val="24"/>
          <w:szCs w:val="24"/>
        </w:rPr>
        <w:t>Фрукты и ягоды внесены в перечни товаров, облагаемых НДС по ставке 10%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13 января 2020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Федеральным законом от 02 августа 2019 г. № 268-ФЗ внесены изменения в подп. 1 п. 2 ст. 164 Налогового кодекса Российской Федерации, в соответствии с которыми в группу продовольственных товаров, операции по реализации которых облагаются НДС по пониженной ставке 10%, включены также фрукты и ягоды (включая виноград). Кроме того, отменена льготная ставка по НДС в отношении пальмового масла (постановление Правительства РФ от 31 декабря 2019 г. № 1952 "О внесении изменений в постановление Правительства Российской Федерации от 31 декабря 2004 г. № 908"). Следовательно, при его реализации применяется ставка 20%.</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Поправки вступили в силу 1 октября 2019 года, однако соответствующие изменения не были внесены в перечни кодов видов продовольственных товаров, облагаемых НДС по налоговой ставке 10% при реализации и кодов видов продовольственных товаров в соответствии с ТН ВЭД, облагаемых НДС по ставке 10% при ввозе на территорию РФ.</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В связи с этим в течение 4 квартала 2019 года существовала неопределенность в отношении ставки НДС, которую следует применять при реализации и ввозе фруктов, ягод и пальмового масла. Теперь перечни скорректированы, а в преамбуле Постановления указано, что поправки распространяются на правоотношения, возникшие с 1 октября 2019 года.</w:t>
      </w:r>
    </w:p>
    <w:p w:rsidR="008B428B" w:rsidRPr="008B428B" w:rsidRDefault="008B428B" w:rsidP="008B428B">
      <w:pPr>
        <w:spacing w:after="0" w:line="240" w:lineRule="auto"/>
        <w:jc w:val="both"/>
        <w:rPr>
          <w:rFonts w:ascii="Times New Roman" w:eastAsia="Calibri" w:hAnsi="Times New Roman" w:cs="Times New Roman"/>
          <w:sz w:val="24"/>
          <w:szCs w:val="24"/>
        </w:rPr>
      </w:pPr>
      <w:r w:rsidRPr="008B428B">
        <w:rPr>
          <w:rFonts w:ascii="Times New Roman" w:eastAsia="Calibri" w:hAnsi="Times New Roman" w:cs="Times New Roman"/>
          <w:sz w:val="24"/>
          <w:szCs w:val="24"/>
        </w:rPr>
        <w:t xml:space="preserve">ГАРАНТ.РУ: </w:t>
      </w:r>
      <w:hyperlink r:id="rId11" w:anchor="ixzz6BdvdXIIl" w:history="1">
        <w:r w:rsidRPr="008B428B">
          <w:rPr>
            <w:rFonts w:ascii="Times New Roman" w:eastAsia="Calibri" w:hAnsi="Times New Roman" w:cs="Times New Roman"/>
            <w:color w:val="0563C1"/>
            <w:sz w:val="24"/>
            <w:szCs w:val="24"/>
            <w:u w:val="single"/>
          </w:rPr>
          <w:t>http://www.garant.ru/news/1314013/#ixzz6BdvdXIIl</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ФНС России рассказала, в каких случаях расходы на медосмотры освобождаются от страховых взносов</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14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Прохождение обязательного предварительного (при устройстве на работу) и периодического (в течение трудовой деятельности) медосмотра осуществляется по направлению работодателя в медорганизацию и за его счет. Как поясняет налоговая служба в своем письме, в этом случае расходы организации на прохождение медосмотров не признаются объектом обложения страховыми взносами, ведь они не связаны с выплатами работникам (письмо ФНС России от 24 декабря 2019 г. № БС-3-11/10931@).</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Если же организацией компенсируются работникам суммы их расходов по прохождению ими самостоятельно обязательных медосмотров, то такие суммы компенсации облагаются страховыми взносами. Ведь налоговым законодательством установлено, что объектом обложения страховыми взносами для организаций признаются выплаты и иные вознаграждения, начисляемые ими в пользу физлиц, в частности, в рамках трудовых отношений и по гражданско-правовым договорам, предметом которых являются выполнение работ, оказание услуг (п. 1 ст. 420 Налогового кодекса). А в перечне выплат, исключаемых из базы для исчисления страховых взносов, суммы компенсации расходов на прохождение работниками медосмотров не поименованы (подп. 2 п. 1 ст. 422 НК РФ).</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2" w:anchor="ixzz6BdywKpgK" w:history="1">
        <w:r w:rsidRPr="008B428B">
          <w:rPr>
            <w:rFonts w:ascii="Times New Roman" w:eastAsia="Calibri" w:hAnsi="Times New Roman" w:cs="Times New Roman"/>
            <w:color w:val="0563C1"/>
            <w:sz w:val="24"/>
            <w:szCs w:val="24"/>
            <w:u w:val="single"/>
            <w:lang w:val="az-Cyrl-AZ"/>
          </w:rPr>
          <w:t>http://www.garant.ru/news/1314213/#ixzz6BdywKpgK</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Налоговая служба рассказала о порядке представления сведений о среднесписочной численности сотрудников реорганизованной компании</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15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Налоговым законодательством установлено, что организации и предприниматели, привлекавшие в предшествующем календарном году работников, должны направлять в налоговый орган по месту постановки на учет сведения о среднесписочной численности работников за предшествующий календарный год. Сделать это нужно будет не позднее 20 января текущего года (п. 3 ст. 80 Налогового кодекса).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Если же организация была реорганизована, то сведения подаются не позднее 20 числа месяца, следующего за месяцем, в котором организация была создана (реорганизована). </w:t>
      </w:r>
      <w:r w:rsidRPr="008B428B">
        <w:rPr>
          <w:rFonts w:ascii="Times New Roman" w:eastAsia="Calibri" w:hAnsi="Times New Roman" w:cs="Times New Roman"/>
          <w:sz w:val="24"/>
          <w:szCs w:val="24"/>
          <w:lang w:val="az-Cyrl-AZ"/>
        </w:rPr>
        <w:lastRenderedPageBreak/>
        <w:t>При этом, как поясняет ФНС России в своем письме, каких-либо специальных положений для представления сведений о среднесписочной численности работников в случае реорганизации в форме присоединения законодательством не установлено (письмо ФНС России от 9 января 2020 г. № СД-4-3/24@). А значит и реорганизованная в форме присоединения компания должна представить сведения в налоговую инспекцию не позднее 20 числа месяца, следующего за месяцем, в котором организация была реорганизована, т. е. в котором в ЕГРЮЛ была внесена запись о прекращении деятельности присоединенного юрлица.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3" w:anchor="ixzz6BdzOh9hn" w:history="1">
        <w:r w:rsidRPr="008B428B">
          <w:rPr>
            <w:rFonts w:ascii="Times New Roman" w:eastAsia="Calibri" w:hAnsi="Times New Roman" w:cs="Times New Roman"/>
            <w:color w:val="0563C1"/>
            <w:sz w:val="24"/>
            <w:szCs w:val="24"/>
            <w:u w:val="single"/>
            <w:lang w:val="az-Cyrl-AZ"/>
          </w:rPr>
          <w:t>http://www.garant.ru/news/1314238/#ixzz6BdzOh9hn</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Планируемые поправки в Конституцию РФ: президентские предложения</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15 января 2020</w:t>
      </w:r>
    </w:p>
    <w:p w:rsidR="008B428B" w:rsidRPr="008B428B" w:rsidRDefault="008B428B" w:rsidP="008B428B">
      <w:pPr>
        <w:numPr>
          <w:ilvl w:val="0"/>
          <w:numId w:val="1"/>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требования международного законодательства и договоров, равно как и решения международных органов, должны действовать на территории России только в той части, в которой они не влекут за собой ограничение прав и свобод человека и гражданина, не противоречат Конституции РФ.</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p>
    <w:p w:rsidR="008B428B" w:rsidRPr="008B428B" w:rsidRDefault="008B428B" w:rsidP="008B428B">
      <w:pPr>
        <w:numPr>
          <w:ilvl w:val="0"/>
          <w:numId w:val="1"/>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президент призывает закрепить в Основном законе страны обязательные требования к лицам, занимающим важные для обеспечения безопасности и суверенитета страны должности. Речь идет о главах регионов, членах Совета Федерации и депутатах Госдумы, Председателе Правительства РФ и его заместителях, федеральных министрах, руководителях иных федеральных органов, а также судьях. По его мнению, эти лица не могут иметь иностранное гражданство, вид на жительство или иной документ, позволяющий постоянно проживать на территории другого государства. Более жесткие требования должны предъявляться к лицам, претендующим на должность Президента РФ, считает Владимир Путин. Наряду с отсутствием иностранного гражданства или вида на жительство в другом государстве (причем и на момент участия в выборах, и до этого), может быть введено требование о минимальном сроке постоянного проживания кандидата на территории России – не менее 25 лет.</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Также в числе возможных корректировок Основного закона страны Президент РФ видит следующие:</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закрепление принципов единой системы публичной власти, механизмов эффективного взаимодействия между государственными и муниципальными органами (при расширении возможностей местного самоуправления);</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введение в Конституцию РФ нормы о том, что минимальный размер оплаты труда в России не может быть ниже размера прожиточного минимума трудоспособного населения;</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отражение в документе принципов достойного пенсионного обеспечения (включая регулярную индексацию пенсий);</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закрепление статуса и роли Государственного совета, в работе которого принимают участие главы всех регионов (это необходимо для повышения роли губернаторов в выработке и принятии решений на федеральном уровне);</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установление полномочий Госдумы по утверждению кандидатуры Председателя Правительства РФ, а затем, по представлению последнего, – и всех вице-премьеров и федеральных министров;</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введение принципа назначения президентом руководителей "силовых ведомств" по итогам консультаций с Советом Федерации;</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закрепление права верхней палаты парламента по представлению Президента РФ отрешать от должности судей Конституционного Суда Российской Федерации и Верховного Суда Российской Федерации в случае совершения ими проступков, порочащих честь и достоинство, и в иных предусмотренных законом случаях;</w:t>
      </w:r>
    </w:p>
    <w:p w:rsidR="008B428B" w:rsidRPr="008B428B" w:rsidRDefault="008B428B" w:rsidP="008B428B">
      <w:pPr>
        <w:numPr>
          <w:ilvl w:val="0"/>
          <w:numId w:val="2"/>
        </w:numPr>
        <w:spacing w:after="0" w:line="240" w:lineRule="auto"/>
        <w:contextualSpacing/>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lastRenderedPageBreak/>
        <w:t>наделение ВС РФ возможностью по запросам Президента РФ проверять конституционность законов, принятых Федеральным Собранием РФ, до их подписания президентом.</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4" w:anchor="ixzz6BdzhRBZq" w:history="1">
        <w:r w:rsidRPr="008B428B">
          <w:rPr>
            <w:rFonts w:ascii="Times New Roman" w:eastAsia="Calibri" w:hAnsi="Times New Roman" w:cs="Times New Roman"/>
            <w:color w:val="0563C1"/>
            <w:sz w:val="24"/>
            <w:szCs w:val="24"/>
            <w:u w:val="single"/>
            <w:lang w:val="az-Cyrl-AZ"/>
          </w:rPr>
          <w:t>http://www.garant.ru/news/1314395/#ixzz6BdzhRBZq</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Подготовлен перечень договоров, которые можно будет заключать в форме электронного документа через портал госуслуг</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16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проектируемом Перечне (проект Приказа Министерства цифрового развития, связи и массовых коммуникаций РФ "О перечне юридически значимых действий, в том числе сделок, совершаемых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осуществляемых с использованием федеральной государственной информационной системы "Единый портал государственных и муниципальных услуг (функций)" ) всего два пункта: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договор купли-продажи транспортных средств;</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договор на оказание услуг (выездное обслуживание) многофункциональным центром предоставления государственных и муниципальных услуг (в форме публичной оферты).</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5" w:anchor="ixzz6Be0Sj4HE" w:history="1">
        <w:r w:rsidRPr="008B428B">
          <w:rPr>
            <w:rFonts w:ascii="Times New Roman" w:eastAsia="Calibri" w:hAnsi="Times New Roman" w:cs="Times New Roman"/>
            <w:color w:val="0563C1"/>
            <w:sz w:val="24"/>
            <w:szCs w:val="24"/>
            <w:u w:val="single"/>
            <w:lang w:val="az-Cyrl-AZ"/>
          </w:rPr>
          <w:t>http://www.garant.ru/news/1314427/#ixzz6Be0Sj4HE</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Работодатель самостоятельно определяет количество штатных единиц специалиста по охране труда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16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Минтруде России отметили, что количество штатных единиц по должности специалиста по охране труда работодатель определяет самостоятельно (письмо Министерства труда и социальной защиты Российской Федерации от 26 сентября 2019 г. № 15-2/В-2363).</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 (ч. 4 ст. 217 ТК РФ). Минтруд России пояснил, что согласно п. 14 постановления Минтруда РФ от 8 февраля 2000 г. № 14 "Об утверждении Рекомендаций по организации работы службы охраны труда в организации", структуру службы охраны труда и численность ее работников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в организациях.</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Также Минтруд России сослался на часть первую ст. 22 ТК РФ и абзац 2 п. 10 постановления Пленума Верховного Суда Российской Федерации от 17 марта 2004 № 2, в котором указывается, что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(штатное расписание, конкретное содержание должностных инструкций, наименования должностей и трудовых функций руководителей, специалистов, служащих и рабочих, подбор и расстановку кадров).</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Таким образом, можно сделать вывод о том, что каких-либо конкретных требований к численности работников службы охраны труда закон не предъявляет.</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6" w:anchor="ixzz6Be0cElmV" w:history="1">
        <w:r w:rsidRPr="008B428B">
          <w:rPr>
            <w:rFonts w:ascii="Times New Roman" w:eastAsia="Calibri" w:hAnsi="Times New Roman" w:cs="Times New Roman"/>
            <w:color w:val="0563C1"/>
            <w:sz w:val="24"/>
            <w:szCs w:val="24"/>
            <w:u w:val="single"/>
            <w:lang w:val="az-Cyrl-AZ"/>
          </w:rPr>
          <w:t>http://www.garant.ru/news/1314431/#ixzz6Be0cElmV</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Расширен перечень банков, уполномоченных на ведение спецсчетов</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16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Правительство Российской Федерации дополнило перечень банков, на специальные счета которых вносятся денежные средства, предназначенные для обеспечения заявок на участие в электронных процедурах закупок, а также денежные средства участников закрытых электронных процедур (далее - Перечень) (распоряжение Правительства РФ от 10 января 2020 г. N 5-р).</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указанный Перечень включены:</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Общество с ограниченной ответственностью "Хоум Кредит энд Финанс Банк";</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lastRenderedPageBreak/>
        <w:t>Акционерное общество "Российский Банк поддержки малого и среднего предпринимательства".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новой редакции Перечень действует с 10 января текущего года.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7" w:anchor="ixzz6Be0tilep" w:history="1">
        <w:r w:rsidRPr="008B428B">
          <w:rPr>
            <w:rFonts w:ascii="Times New Roman" w:eastAsia="Calibri" w:hAnsi="Times New Roman" w:cs="Times New Roman"/>
            <w:color w:val="0563C1"/>
            <w:sz w:val="24"/>
            <w:szCs w:val="24"/>
            <w:u w:val="single"/>
            <w:lang w:val="az-Cyrl-AZ"/>
          </w:rPr>
          <w:t>http://www.garant.ru/news/1314449/#ixzz6Be0tilep</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ФНС России рассказала, как начислять страховые взносы на выплаты по гражданско-правовым и трудовым договорам</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16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Налоговым законодательством установлено, что выплаты и иные вознаграждения в пользу физлиц, выплачиваемые, в частности, в рамках трудовых отношений и по гражданско-правовым договорам, предметом которых являются выполнение работ, оказание услуг облагаются страховыми взносами (п. 1 ст. 420 Налогового кодекса).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При этом выплаты по гражданско-правовым договорам не подлежат обложению в части страховых взносов на обязательное социальное страхование на случай временной нетрудоспособности и в связи с материнством (п. 3 ст. 422 НК РФ). А значит, такие выплаты облагаются только страховыми взносами на обязательное пенсионное страхование и на обязательное медицинское страхование.</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Если же с физлицом был заключен гражданско-правовой договор, но впоследствии отношения по нему были признаны трудовыми, то к ним будут применяться положения трудового законодательства и иных актов, содержащих нормы трудового права. При этом такие трудовые отношения между работником и работодателем считаются возникшими со дня фактического допущения физлица к исполнению предусмотренных указанным договором обязанностей (ст. 19.1 Трудового кодекса).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связи с этим гражданско-правовой договор будет переквалифицирован в трудовой, то и выплаты и иные вознаграждения, производимые физлицу по нему, будут подлежать обложению страховыми взносами, в том числе и на обязательное социальное страхование на случай временной нетрудоспособности и в связи с материнством в общеустановленном порядке (письмо ФНС России от 27 декабря 2019 г. № БС-3-11/11131@).</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8" w:anchor="ixzz6Be6A2LN3" w:history="1">
        <w:r w:rsidRPr="008B428B">
          <w:rPr>
            <w:rFonts w:ascii="Times New Roman" w:eastAsia="Calibri" w:hAnsi="Times New Roman" w:cs="Times New Roman"/>
            <w:color w:val="0563C1"/>
            <w:sz w:val="24"/>
            <w:szCs w:val="24"/>
            <w:u w:val="single"/>
            <w:lang w:val="az-Cyrl-AZ"/>
          </w:rPr>
          <w:t>http://www.garant.ru/news/1314563/#ixzz6Be6A2LN3</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Снижены коэффициенты-дефляторы на 2020 год</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17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Минэкономразвития России снизил коэффициенты-дефляторы на 2020 год, внеся изменения в ранее изданный приказ (приказ Минэкономразвития России от 10 декабря 2019 г. № 793 "О внесении изменений в приказ Минэкономразвития России от 21 октября 2019 г. № 684 "Об установлении коэффициентов-дефляторов на 2020 год").</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Так, в этом году будут применяться следующие показатели:</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для НДФЛ – 1,810 (ранее 1,813). Применяется при расчете фиксированных авансовых платежей по НДФЛ иностранными гражданами, работающими в России по найму в размере 1,2 тыс. руб. (п. 2 ст. 227.1 Налогового кодекса). Так, в 2020 году фиксированный ежемесячный платеж составит 2 172 руб. (1200 руб. х 1,810).;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для ЕНВД – 2,005 (ранее 2,009). Применяется для корректировки базовой доходности при определении налоговой базы по налогу (п. 4 ст. 346.29 НК РФ);</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для ПСН – 1,589 (ранее 1,592) Применяется для ежегодной индексации максимального размера потенциально возможного годового дохода (п. 2 ст. 346.48 НК РФ);</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для торгового сбора – 1,379 (ранее 1,382). Применяется для ежегодной индексации ставки сбора, установленного по деятельности по организации розничных рынков (п. 2 ст. 346.48 НК РФ).</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этом году не устанавливаются коэффициенты-дефляторы для УСН и налога на имущество физлиц. Для упрощенцев этот показатель уже определен ч. 4 ст. 4 Федерального закона от 3 июля 2016г. № 243-ФЗ. В отношении же налога на имущество физлиц в нем отпала необходимость. Ведь коэффициент применялся ранее к инвентаризационной стоимости имущества, которая с 2020 года больше не используется при расчете налога (ч. 3 ст. 5 Федерального закона от 4 октября 2014 г. № 284-ФЗ).</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19" w:anchor="ixzz6Be6TkCFi" w:history="1">
        <w:r w:rsidRPr="008B428B">
          <w:rPr>
            <w:rFonts w:ascii="Times New Roman" w:eastAsia="Calibri" w:hAnsi="Times New Roman" w:cs="Times New Roman"/>
            <w:color w:val="0563C1"/>
            <w:sz w:val="24"/>
            <w:szCs w:val="24"/>
            <w:u w:val="single"/>
            <w:lang w:val="az-Cyrl-AZ"/>
          </w:rPr>
          <w:t>http://www.garant.ru/news/1314604/#ixzz6Be6TkCFi</w:t>
        </w:r>
      </w:hyperlink>
    </w:p>
    <w:p w:rsidR="008B428B" w:rsidRPr="008B428B" w:rsidRDefault="008B428B" w:rsidP="008B428B">
      <w:pPr>
        <w:spacing w:after="0" w:line="240" w:lineRule="auto"/>
        <w:jc w:val="both"/>
        <w:rPr>
          <w:rFonts w:ascii="Times New Roman" w:eastAsia="Calibri" w:hAnsi="Times New Roman" w:cs="Times New Roman"/>
          <w:b/>
          <w:bCs/>
          <w:sz w:val="24"/>
          <w:szCs w:val="24"/>
          <w:lang w:val="az-Cyrl-AZ"/>
        </w:rPr>
      </w:pPr>
      <w:r w:rsidRPr="008B428B">
        <w:rPr>
          <w:rFonts w:ascii="Times New Roman" w:eastAsia="Calibri" w:hAnsi="Times New Roman" w:cs="Times New Roman"/>
          <w:b/>
          <w:bCs/>
          <w:sz w:val="24"/>
          <w:szCs w:val="24"/>
          <w:lang w:val="az-Cyrl-AZ"/>
        </w:rPr>
        <w:t>Декларацию соответствия условий труда хотят сделать бессрочной</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17 января 2020</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Сегодня срок действия декларации соответствия условий труда составляет 5 лет (информация Министерства труда и социальной защиты РФ от 13 января 2020 г. "Декларация соответствия условий труда государственным нормативным требованиям охраны труда станет бессрочной"). Он может быть продлен на следующие 5 лет при отсутствии за этот период:</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несчастного случая на производстве;</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профзаболеваний, возникших из-за вредных и опасных производственных факторов;</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нарушений государственных нормативных требований охраны труда.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В этих случаях спецоценка условий труда повторно не проводится. Других оснований прекращения действия декларации, кроме вышеперечисленных, не предусмотрено. При этом установлено, что спецоценка условий труда должна проводиться не реже 1 раза в 5 лет.</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Чтобы устранить данный правовой пробел, планируется установить бессрочное действие декларации. Таким образом, отпадет необходимость проводить спецоценку по истечении срока действия декларации в случаях, когда условия труда не изменились. Это, в свою очередь, приведет к снижению финансовой нагрузки, в том числе на предприятия малого и среднего предпринимательства.</w:t>
      </w:r>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r w:rsidRPr="008B428B">
        <w:rPr>
          <w:rFonts w:ascii="Times New Roman" w:eastAsia="Calibri" w:hAnsi="Times New Roman" w:cs="Times New Roman"/>
          <w:sz w:val="24"/>
          <w:szCs w:val="24"/>
          <w:lang w:val="az-Cyrl-AZ"/>
        </w:rPr>
        <w:t xml:space="preserve">ГАРАНТ.РУ: </w:t>
      </w:r>
      <w:hyperlink r:id="rId20" w:anchor="ixzz6Be6gkiN4" w:history="1">
        <w:r w:rsidRPr="008B428B">
          <w:rPr>
            <w:rFonts w:ascii="Times New Roman" w:eastAsia="Calibri" w:hAnsi="Times New Roman" w:cs="Times New Roman"/>
            <w:color w:val="0563C1"/>
            <w:sz w:val="24"/>
            <w:szCs w:val="24"/>
            <w:u w:val="single"/>
            <w:lang w:val="az-Cyrl-AZ"/>
          </w:rPr>
          <w:t>http://www.garant.ru/news/1314764/#ixzz6Be6gkiN4</w:t>
        </w:r>
      </w:hyperlink>
    </w:p>
    <w:p w:rsidR="008B428B" w:rsidRPr="008B428B" w:rsidRDefault="008B428B" w:rsidP="008B428B">
      <w:pPr>
        <w:spacing w:after="0" w:line="240" w:lineRule="auto"/>
        <w:jc w:val="both"/>
        <w:rPr>
          <w:rFonts w:ascii="Times New Roman" w:eastAsia="Calibri" w:hAnsi="Times New Roman" w:cs="Times New Roman"/>
          <w:sz w:val="24"/>
          <w:szCs w:val="24"/>
          <w:lang w:val="az-Cyrl-AZ"/>
        </w:rPr>
      </w:pPr>
    </w:p>
    <w:p w:rsidR="00DA2570" w:rsidRDefault="00DA2570">
      <w:bookmarkStart w:id="0" w:name="_GoBack"/>
      <w:bookmarkEnd w:id="0"/>
    </w:p>
    <w:sectPr w:rsidR="00DA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A92"/>
    <w:multiLevelType w:val="hybridMultilevel"/>
    <w:tmpl w:val="8A9AD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7273C5"/>
    <w:multiLevelType w:val="hybridMultilevel"/>
    <w:tmpl w:val="C6B81B08"/>
    <w:lvl w:ilvl="0" w:tplc="5BD0CB7A">
      <w:start w:val="2"/>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69"/>
    <w:rsid w:val="000F7069"/>
    <w:rsid w:val="008B428B"/>
    <w:rsid w:val="00DA2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5022C-3B77-4706-B8B4-5B2662F3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64495">
      <w:bodyDiv w:val="1"/>
      <w:marLeft w:val="0"/>
      <w:marRight w:val="0"/>
      <w:marTop w:val="0"/>
      <w:marBottom w:val="0"/>
      <w:divBdr>
        <w:top w:val="none" w:sz="0" w:space="0" w:color="auto"/>
        <w:left w:val="none" w:sz="0" w:space="0" w:color="auto"/>
        <w:bottom w:val="none" w:sz="0" w:space="0" w:color="auto"/>
        <w:right w:val="none" w:sz="0" w:space="0" w:color="auto"/>
      </w:divBdr>
    </w:div>
    <w:div w:id="10667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313808/" TargetMode="External"/><Relationship Id="rId13" Type="http://schemas.openxmlformats.org/officeDocument/2006/relationships/hyperlink" Target="http://www.garant.ru/news/1314238/" TargetMode="External"/><Relationship Id="rId18" Type="http://schemas.openxmlformats.org/officeDocument/2006/relationships/hyperlink" Target="http://www.garant.ru/news/13145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rant.ru/news/1313465/" TargetMode="External"/><Relationship Id="rId12" Type="http://schemas.openxmlformats.org/officeDocument/2006/relationships/hyperlink" Target="http://www.garant.ru/news/1314213/" TargetMode="External"/><Relationship Id="rId17" Type="http://schemas.openxmlformats.org/officeDocument/2006/relationships/hyperlink" Target="http://www.garant.ru/news/1314449/" TargetMode="External"/><Relationship Id="rId2" Type="http://schemas.openxmlformats.org/officeDocument/2006/relationships/styles" Target="styles.xml"/><Relationship Id="rId16" Type="http://schemas.openxmlformats.org/officeDocument/2006/relationships/hyperlink" Target="http://www.garant.ru/news/1314431/" TargetMode="External"/><Relationship Id="rId20" Type="http://schemas.openxmlformats.org/officeDocument/2006/relationships/hyperlink" Target="http://www.garant.ru/news/1314764/" TargetMode="External"/><Relationship Id="rId1" Type="http://schemas.openxmlformats.org/officeDocument/2006/relationships/numbering" Target="numbering.xml"/><Relationship Id="rId6" Type="http://schemas.openxmlformats.org/officeDocument/2006/relationships/hyperlink" Target="http://www.garant.ru/news/1313526/" TargetMode="External"/><Relationship Id="rId11" Type="http://schemas.openxmlformats.org/officeDocument/2006/relationships/hyperlink" Target="http://www.garant.ru/news/1314013/" TargetMode="External"/><Relationship Id="rId5" Type="http://schemas.openxmlformats.org/officeDocument/2006/relationships/hyperlink" Target="http://www.garant.ru/news/1313500/" TargetMode="External"/><Relationship Id="rId15" Type="http://schemas.openxmlformats.org/officeDocument/2006/relationships/hyperlink" Target="http://www.garant.ru/news/1314427/" TargetMode="External"/><Relationship Id="rId10" Type="http://schemas.openxmlformats.org/officeDocument/2006/relationships/hyperlink" Target="http://www.garant.ru/news/1313972/" TargetMode="External"/><Relationship Id="rId19" Type="http://schemas.openxmlformats.org/officeDocument/2006/relationships/hyperlink" Target="http://www.garant.ru/news/1314604/" TargetMode="External"/><Relationship Id="rId4" Type="http://schemas.openxmlformats.org/officeDocument/2006/relationships/webSettings" Target="webSettings.xml"/><Relationship Id="rId9" Type="http://schemas.openxmlformats.org/officeDocument/2006/relationships/hyperlink" Target="http://www.garant.ru/news/1313747/" TargetMode="External"/><Relationship Id="rId14" Type="http://schemas.openxmlformats.org/officeDocument/2006/relationships/hyperlink" Target="http://www.garant.ru/news/131439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4036</Words>
  <Characters>23007</Characters>
  <Application>Microsoft Office Word</Application>
  <DocSecurity>0</DocSecurity>
  <Lines>191</Lines>
  <Paragraphs>53</Paragraphs>
  <ScaleCrop>false</ScaleCrop>
  <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2020-01-21T07:41:00Z</dcterms:created>
  <dcterms:modified xsi:type="dcterms:W3CDTF">2020-01-21T07:42:00Z</dcterms:modified>
</cp:coreProperties>
</file>