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9D20" w14:textId="77777777" w:rsidR="00705377" w:rsidRDefault="00172B59">
      <w:pPr>
        <w:pStyle w:val="printredaction-line"/>
        <w:divId w:val="810053682"/>
      </w:pPr>
      <w:r>
        <w:t>Редакция от 26 ноя 2020</w:t>
      </w:r>
    </w:p>
    <w:p w14:paraId="14DD9990" w14:textId="77777777" w:rsidR="00705377" w:rsidRDefault="00172B59">
      <w:pPr>
        <w:pStyle w:val="2"/>
        <w:divId w:val="810053682"/>
        <w:rPr>
          <w:rFonts w:eastAsia="Times New Roman"/>
        </w:rPr>
      </w:pPr>
      <w:r>
        <w:rPr>
          <w:rFonts w:eastAsia="Times New Roman"/>
        </w:rPr>
        <w:t xml:space="preserve">Как перевести сотрудников на </w:t>
      </w:r>
      <w:proofErr w:type="spellStart"/>
      <w:r>
        <w:rPr>
          <w:rFonts w:eastAsia="Times New Roman"/>
        </w:rPr>
        <w:t>удаленку</w:t>
      </w:r>
      <w:proofErr w:type="spellEnd"/>
      <w:r>
        <w:rPr>
          <w:rFonts w:eastAsia="Times New Roman"/>
        </w:rPr>
        <w:t xml:space="preserve"> в 2021 году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8"/>
        <w:gridCol w:w="6557"/>
      </w:tblGrid>
      <w:tr w:rsidR="00705377" w14:paraId="36B8335A" w14:textId="77777777">
        <w:trPr>
          <w:divId w:val="810053682"/>
        </w:trPr>
        <w:tc>
          <w:tcPr>
            <w:tcW w:w="0" w:type="auto"/>
            <w:vAlign w:val="center"/>
            <w:hideMark/>
          </w:tcPr>
          <w:p w14:paraId="1458E0FD" w14:textId="77777777" w:rsidR="00705377" w:rsidRDefault="00172B59">
            <w:pPr>
              <w:divId w:val="212619295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51B2D39" wp14:editId="1EA2A845">
                  <wp:extent cx="1359210" cy="1676782"/>
                  <wp:effectExtent l="0" t="0" r="0" b="0"/>
                  <wp:docPr id="1" name="Рисунок 1" descr="Ольга Серг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ьга Серг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10" cy="16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BBFBD0" w14:textId="77777777" w:rsidR="00705377" w:rsidRDefault="00172B59">
            <w:pPr>
              <w:pStyle w:val="authorabout"/>
            </w:pPr>
            <w:r>
              <w:t>Ольга Сергеева, главный редактор Системы Главбух</w:t>
            </w:r>
          </w:p>
        </w:tc>
      </w:tr>
    </w:tbl>
    <w:p w14:paraId="5396E6E6" w14:textId="77777777" w:rsidR="00705377" w:rsidRDefault="00172B59">
      <w:pPr>
        <w:divId w:val="1867130518"/>
        <w:rPr>
          <w:rFonts w:eastAsia="Times New Roman"/>
        </w:rPr>
      </w:pPr>
      <w:r>
        <w:rPr>
          <w:rFonts w:eastAsia="Times New Roman"/>
        </w:rPr>
        <w:t xml:space="preserve">С 2021 года в ТК появятся новые правила удаленной работы. </w:t>
      </w:r>
      <w:hyperlink r:id="rId6" w:anchor="/document/97/479910/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</w:rPr>
        <w:t xml:space="preserve"> уже приняли в третьем чтении. Когда и как сможете отправлять сотрудников на </w:t>
      </w:r>
      <w:proofErr w:type="spellStart"/>
      <w:r>
        <w:rPr>
          <w:rFonts w:eastAsia="Times New Roman"/>
        </w:rPr>
        <w:t>удаленку</w:t>
      </w:r>
      <w:proofErr w:type="spellEnd"/>
      <w:r>
        <w:rPr>
          <w:rFonts w:eastAsia="Times New Roman"/>
        </w:rPr>
        <w:t xml:space="preserve">, в рекомендации.  </w:t>
      </w:r>
    </w:p>
    <w:p w14:paraId="5F24F246" w14:textId="77777777" w:rsidR="00705377" w:rsidRDefault="00172B59">
      <w:pPr>
        <w:pStyle w:val="a5"/>
        <w:divId w:val="1947880154"/>
      </w:pPr>
      <w:r>
        <w:t>С 1 января 2021 года изменят порядок работы для дистанционных сотрудников. Появится четыре вида удаленной работы, а уволить сотрудника можно будет, если он не выходил на связь больше двух рабочих дней. В рекомендации – к чему готовиться и какие документы разработать до января. </w:t>
      </w:r>
    </w:p>
    <w:p w14:paraId="276F56C6" w14:textId="77777777" w:rsidR="00705377" w:rsidRDefault="00172B59">
      <w:pPr>
        <w:pStyle w:val="2"/>
        <w:divId w:val="1947880154"/>
        <w:rPr>
          <w:rFonts w:eastAsia="Times New Roman"/>
        </w:rPr>
      </w:pPr>
      <w:r>
        <w:rPr>
          <w:rFonts w:eastAsia="Times New Roman"/>
        </w:rPr>
        <w:t xml:space="preserve">Перевод на </w:t>
      </w:r>
      <w:proofErr w:type="spellStart"/>
      <w:r>
        <w:rPr>
          <w:rFonts w:eastAsia="Times New Roman"/>
        </w:rPr>
        <w:t>удаленку</w:t>
      </w:r>
      <w:proofErr w:type="spellEnd"/>
    </w:p>
    <w:p w14:paraId="7560C09E" w14:textId="77777777" w:rsidR="00705377" w:rsidRDefault="00172B59">
      <w:pPr>
        <w:pStyle w:val="a5"/>
        <w:divId w:val="491720445"/>
      </w:pPr>
      <w:r>
        <w:t xml:space="preserve">Понятие удаленной работы установили в </w:t>
      </w:r>
      <w:hyperlink r:id="rId7" w:anchor="/document/97/479910/dfasn158ta/" w:history="1">
        <w:r>
          <w:rPr>
            <w:rStyle w:val="a3"/>
          </w:rPr>
          <w:t>статье 312.1 ТК</w:t>
        </w:r>
      </w:hyperlink>
      <w:r>
        <w:t>. К дистанционной или удаленной работе относят работу, котор</w:t>
      </w:r>
      <w:bookmarkStart w:id="0" w:name="_GoBack"/>
      <w:bookmarkEnd w:id="0"/>
      <w:r>
        <w:t>ую сотрудник выполняет с использованием информационно-телекоммуникационных сетей, в том числе сети "Интернет", и сетей связи общего пользования:</w:t>
      </w:r>
    </w:p>
    <w:p w14:paraId="1BCA73AC" w14:textId="77777777" w:rsidR="00705377" w:rsidRDefault="00172B59">
      <w:pPr>
        <w:numPr>
          <w:ilvl w:val="0"/>
          <w:numId w:val="1"/>
        </w:numPr>
        <w:spacing w:after="103"/>
        <w:ind w:left="1406"/>
        <w:divId w:val="491720445"/>
        <w:rPr>
          <w:rFonts w:eastAsia="Times New Roman"/>
        </w:rPr>
      </w:pPr>
      <w:r>
        <w:rPr>
          <w:rFonts w:eastAsia="Times New Roman"/>
        </w:rPr>
        <w:t>вне места нахождения работодателя, его филиала, представительства, иного обособленного структурного подразделения, включая расположенные в другой местности;</w:t>
      </w:r>
    </w:p>
    <w:p w14:paraId="40C45424" w14:textId="77777777" w:rsidR="00705377" w:rsidRDefault="00172B59">
      <w:pPr>
        <w:numPr>
          <w:ilvl w:val="0"/>
          <w:numId w:val="1"/>
        </w:numPr>
        <w:spacing w:after="103"/>
        <w:ind w:left="1406"/>
        <w:divId w:val="491720445"/>
        <w:rPr>
          <w:rFonts w:eastAsia="Times New Roman"/>
        </w:rPr>
      </w:pPr>
      <w:r>
        <w:rPr>
          <w:rFonts w:eastAsia="Times New Roman"/>
        </w:rPr>
        <w:t>вне стационарного рабочего места, территории или объекта, прямо или косвенно находящихся под контролем работодателя.</w:t>
      </w:r>
    </w:p>
    <w:p w14:paraId="46DCCDEE" w14:textId="77777777" w:rsidR="00705377" w:rsidRDefault="00172B59">
      <w:pPr>
        <w:pStyle w:val="a5"/>
        <w:divId w:val="491720445"/>
      </w:pPr>
      <w:r>
        <w:t>Порядок перевода на удаленную работу с 2021 года и условия работы зависят от вида дистанционной работы.</w:t>
      </w:r>
    </w:p>
    <w:p w14:paraId="1FD51009" w14:textId="77777777" w:rsidR="00705377" w:rsidRDefault="00172B59">
      <w:pPr>
        <w:pStyle w:val="3"/>
        <w:divId w:val="491720445"/>
        <w:rPr>
          <w:rFonts w:eastAsia="Times New Roman"/>
        </w:rPr>
      </w:pPr>
      <w:r>
        <w:rPr>
          <w:rFonts w:eastAsia="Times New Roman"/>
        </w:rPr>
        <w:t xml:space="preserve">Виды </w:t>
      </w:r>
      <w:proofErr w:type="spellStart"/>
      <w:r>
        <w:rPr>
          <w:rFonts w:eastAsia="Times New Roman"/>
        </w:rPr>
        <w:t>удаленки</w:t>
      </w:r>
      <w:proofErr w:type="spellEnd"/>
    </w:p>
    <w:p w14:paraId="4BD4E450" w14:textId="77777777" w:rsidR="00705377" w:rsidRDefault="00172B59">
      <w:pPr>
        <w:pStyle w:val="a5"/>
        <w:divId w:val="491720445"/>
      </w:pPr>
      <w:r>
        <w:t>С 1 января 2021 года будет четыре вида дистанционной работы. Основные отличия – в таблице ниже.</w:t>
      </w:r>
    </w:p>
    <w:p w14:paraId="4147AFFF" w14:textId="77777777" w:rsidR="00705377" w:rsidRDefault="00172B59">
      <w:pPr>
        <w:pStyle w:val="a5"/>
        <w:divId w:val="491720445"/>
      </w:pPr>
      <w:r>
        <w:rPr>
          <w:rStyle w:val="a6"/>
        </w:rPr>
        <w:t>Таблица. Виды дистанционной работы с 2021 года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66"/>
        <w:gridCol w:w="5089"/>
      </w:tblGrid>
      <w:tr w:rsidR="00705377" w14:paraId="2AC257FA" w14:textId="77777777">
        <w:trPr>
          <w:divId w:val="548884924"/>
          <w:tblHeader/>
        </w:trPr>
        <w:tc>
          <w:tcPr>
            <w:tcW w:w="4740" w:type="dxa"/>
            <w:tcBorders>
              <w:bottom w:val="single" w:sz="6" w:space="0" w:color="000000"/>
            </w:tcBorders>
            <w:hideMark/>
          </w:tcPr>
          <w:p w14:paraId="7637A8CB" w14:textId="77777777" w:rsidR="00705377" w:rsidRDefault="00172B5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 дистанционной работы</w:t>
            </w:r>
          </w:p>
        </w:tc>
        <w:tc>
          <w:tcPr>
            <w:tcW w:w="5745" w:type="dxa"/>
            <w:tcBorders>
              <w:bottom w:val="single" w:sz="6" w:space="0" w:color="000000"/>
            </w:tcBorders>
            <w:hideMark/>
          </w:tcPr>
          <w:p w14:paraId="505367CF" w14:textId="77777777" w:rsidR="00705377" w:rsidRDefault="00172B5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чем суть</w:t>
            </w:r>
          </w:p>
        </w:tc>
      </w:tr>
      <w:tr w:rsidR="00705377" w14:paraId="5980C395" w14:textId="77777777">
        <w:trPr>
          <w:divId w:val="548884924"/>
        </w:trPr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B5DB3F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57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7A90063" w14:textId="77777777" w:rsidR="00705377" w:rsidRDefault="00172B59">
            <w:pPr>
              <w:pStyle w:val="a5"/>
            </w:pPr>
            <w:r>
              <w:t>Сотрудник всегда трудится вне офиса в течение всего срока действия трудового договора</w:t>
            </w:r>
          </w:p>
        </w:tc>
      </w:tr>
      <w:tr w:rsidR="00705377" w14:paraId="14865028" w14:textId="77777777">
        <w:trPr>
          <w:divId w:val="548884924"/>
        </w:trPr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DC215E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Временно</w:t>
            </w:r>
          </w:p>
        </w:tc>
        <w:tc>
          <w:tcPr>
            <w:tcW w:w="57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F8DEC1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Сотрудник временно непрерывно работает вне офиса, но такой период не может превышать шесть месяцев</w:t>
            </w:r>
          </w:p>
        </w:tc>
      </w:tr>
      <w:tr w:rsidR="00705377" w14:paraId="63A7BC4A" w14:textId="77777777">
        <w:trPr>
          <w:divId w:val="548884924"/>
        </w:trPr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FBDD14A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Периодически</w:t>
            </w:r>
          </w:p>
        </w:tc>
        <w:tc>
          <w:tcPr>
            <w:tcW w:w="57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12FE04" w14:textId="77777777" w:rsidR="00705377" w:rsidRDefault="00172B59">
            <w:pPr>
              <w:pStyle w:val="a5"/>
            </w:pPr>
            <w:r>
              <w:t>Сотрудник чередует периоды работы вне офиса и в офисе</w:t>
            </w:r>
          </w:p>
        </w:tc>
      </w:tr>
      <w:tr w:rsidR="00705377" w14:paraId="57D168B0" w14:textId="77777777">
        <w:trPr>
          <w:divId w:val="548884924"/>
        </w:trPr>
        <w:tc>
          <w:tcPr>
            <w:tcW w:w="474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F3EBF" w14:textId="77777777" w:rsidR="00705377" w:rsidRDefault="00172B59">
            <w:pPr>
              <w:pStyle w:val="a5"/>
            </w:pPr>
            <w:r>
              <w:t>Временно по инициативе работодателя в исключительных случаях</w:t>
            </w:r>
          </w:p>
          <w:p w14:paraId="5946F363" w14:textId="77777777" w:rsidR="00705377" w:rsidRDefault="00172B59">
            <w:pPr>
              <w:pStyle w:val="a5"/>
            </w:pPr>
            <w:r>
              <w:t> </w:t>
            </w:r>
          </w:p>
        </w:tc>
        <w:tc>
          <w:tcPr>
            <w:tcW w:w="574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3FA2E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Сотрудник временно работает вне офиса, пока не прекратят действовать обстоятельства, которые стали причиной перевода (решение властей, эпидемия и другие исключительные случаи)</w:t>
            </w:r>
          </w:p>
        </w:tc>
      </w:tr>
    </w:tbl>
    <w:p w14:paraId="17AA07B3" w14:textId="77777777" w:rsidR="00705377" w:rsidRPr="00F02A8A" w:rsidRDefault="00172B59">
      <w:pPr>
        <w:pStyle w:val="3"/>
        <w:divId w:val="491720445"/>
        <w:rPr>
          <w:rFonts w:eastAsia="Times New Roman"/>
          <w:lang w:val="en-US"/>
        </w:rPr>
      </w:pPr>
      <w:r>
        <w:rPr>
          <w:rFonts w:eastAsia="Times New Roman"/>
        </w:rPr>
        <w:t xml:space="preserve">Оформление </w:t>
      </w:r>
      <w:proofErr w:type="spellStart"/>
      <w:r>
        <w:rPr>
          <w:rFonts w:eastAsia="Times New Roman"/>
        </w:rPr>
        <w:t>удаленки</w:t>
      </w:r>
      <w:proofErr w:type="spellEnd"/>
    </w:p>
    <w:p w14:paraId="70F616BF" w14:textId="77777777" w:rsidR="00705377" w:rsidRDefault="00172B59">
      <w:pPr>
        <w:pStyle w:val="a5"/>
        <w:divId w:val="491720445"/>
      </w:pPr>
      <w:r>
        <w:t xml:space="preserve">По общим правилам с дистанционным сотрудником нужно подписать трудовой договор или дополнительное соглашение. Правило не распространяется только на перевод сотрудника на </w:t>
      </w:r>
      <w:proofErr w:type="spellStart"/>
      <w:r>
        <w:t>удаленку</w:t>
      </w:r>
      <w:proofErr w:type="spellEnd"/>
      <w:r>
        <w:t xml:space="preserve"> в исключительных случаях (</w:t>
      </w:r>
      <w:hyperlink r:id="rId8" w:anchor="/document/97/479910/dfas2n0gg4/" w:history="1">
        <w:r>
          <w:rPr>
            <w:rStyle w:val="a3"/>
          </w:rPr>
          <w:t>ст. 312.9 ТК</w:t>
        </w:r>
      </w:hyperlink>
      <w:r>
        <w:t>).  Например, по решению властей, при эпидемии и других исключительных случаях, которые угрожают жизни или нормальным жизненным условиям всего населения или его части. Для таких случаев установлен упрощенный порядок оформления документов. </w:t>
      </w:r>
    </w:p>
    <w:p w14:paraId="2BD38A7C" w14:textId="77777777" w:rsidR="00705377" w:rsidRDefault="00172B59">
      <w:pPr>
        <w:pStyle w:val="a5"/>
        <w:divId w:val="491720445"/>
      </w:pPr>
      <w:r>
        <w:rPr>
          <w:rStyle w:val="a6"/>
        </w:rPr>
        <w:t>Общие правила.</w:t>
      </w:r>
      <w:r>
        <w:t> Пропишите в коллективном договоре, локальном нормативном акте, трудовом договоре или в дополнительном соглашении к нему:</w:t>
      </w:r>
      <w:r>
        <w:br/>
        <w:t>– режим рабочего времени дистанционных сотрудников;</w:t>
      </w:r>
      <w:r>
        <w:br/>
        <w:t>– продолжительность или периодичность временной дистанционной работы;</w:t>
      </w:r>
      <w:r>
        <w:br/>
        <w:t>– порядок и условия выхода дистанционного сотрудника на работу по инициативе работодателя и сотрудника;</w:t>
      </w:r>
      <w:r>
        <w:br/>
        <w:t>– порядок предоставления отпусков дистанционным сотрудникам;</w:t>
      </w:r>
      <w:r>
        <w:br/>
        <w:t>– порядок и сроки подачи отчетов о проделанной работе;</w:t>
      </w:r>
      <w:r>
        <w:br/>
        <w:t>– дополнительные обязанности по охране труда;</w:t>
      </w:r>
      <w:r>
        <w:br/>
        <w:t>– другие условия. </w:t>
      </w:r>
    </w:p>
    <w:p w14:paraId="6D747C81" w14:textId="77777777" w:rsidR="00705377" w:rsidRDefault="00172B59">
      <w:pPr>
        <w:pStyle w:val="a5"/>
        <w:divId w:val="491720445"/>
      </w:pPr>
      <w:r>
        <w:t>Если требований к режиму работы нет, сотрудник вправе определить его по своему усмотрению. Время взаимодействия дистанционного работника с работодателем нужно включать в рабочее время. Если сотрудник трудится дистанционно, то это данный факт не может быть основанием для снижения зарплаты (</w:t>
      </w:r>
      <w:hyperlink r:id="rId9" w:anchor="/document/97/479910/dfasg38xkh/" w:history="1">
        <w:r>
          <w:rPr>
            <w:rStyle w:val="a3"/>
          </w:rPr>
          <w:t>ст. 312.5 ТК</w:t>
        </w:r>
      </w:hyperlink>
      <w:r>
        <w:t>). </w:t>
      </w:r>
    </w:p>
    <w:p w14:paraId="28D94951" w14:textId="77777777" w:rsidR="00705377" w:rsidRDefault="00172B59">
      <w:pPr>
        <w:pStyle w:val="a5"/>
        <w:divId w:val="1577279836"/>
      </w:pPr>
      <w:r>
        <w:rPr>
          <w:rStyle w:val="a6"/>
        </w:rPr>
        <w:t xml:space="preserve">Упрощенный порядок. </w:t>
      </w:r>
      <w:r>
        <w:t xml:space="preserve">В исключительных случаях работодатель вправе перевести сотрудников на временную </w:t>
      </w:r>
      <w:proofErr w:type="spellStart"/>
      <w:r>
        <w:t>удаленку</w:t>
      </w:r>
      <w:proofErr w:type="spellEnd"/>
      <w:r>
        <w:t xml:space="preserve"> с помощью локального акта.  Согласие сотрудников на такой перевод не требуется и вносить изменения в трудовой договор не нужно. Основание </w:t>
      </w:r>
      <w:proofErr w:type="gramStart"/>
      <w:r>
        <w:t xml:space="preserve">–  </w:t>
      </w:r>
      <w:hyperlink r:id="rId10" w:anchor="/document/97/479910/dfas2n0gg4/" w:history="1">
        <w:r>
          <w:rPr>
            <w:rStyle w:val="a3"/>
          </w:rPr>
          <w:t>статья</w:t>
        </w:r>
        <w:proofErr w:type="gramEnd"/>
        <w:r>
          <w:rPr>
            <w:rStyle w:val="a3"/>
          </w:rPr>
          <w:t xml:space="preserve"> 312.9 ТК</w:t>
        </w:r>
      </w:hyperlink>
      <w:r>
        <w:t xml:space="preserve">. Для такого перевода есть три </w:t>
      </w:r>
      <w:proofErr w:type="gramStart"/>
      <w:r>
        <w:t>основания:</w:t>
      </w:r>
      <w:r>
        <w:br/>
        <w:t>–</w:t>
      </w:r>
      <w:proofErr w:type="gramEnd"/>
      <w:r>
        <w:t xml:space="preserve"> решение о переводе принял орган власти или местного самоуправления;</w:t>
      </w:r>
      <w:r>
        <w:br/>
        <w:t>– катастрофа, авария или несчастный случай на производстве, пожар, наводнение, землетрясение, эпидемия или эпизоотия;</w:t>
      </w:r>
      <w:r>
        <w:br/>
        <w:t>– другие случаи, которые угрожают жизни или нормальным жизненным условиям всего населения или его части.</w:t>
      </w:r>
    </w:p>
    <w:p w14:paraId="32DE63FF" w14:textId="77777777" w:rsidR="00705377" w:rsidRDefault="00172B59">
      <w:pPr>
        <w:pStyle w:val="a5"/>
        <w:divId w:val="1577279836"/>
      </w:pPr>
      <w:r>
        <w:t xml:space="preserve">Чтобы перевести на </w:t>
      </w:r>
      <w:proofErr w:type="spellStart"/>
      <w:r>
        <w:t>удаленку</w:t>
      </w:r>
      <w:proofErr w:type="spellEnd"/>
      <w:r>
        <w:t xml:space="preserve"> в исключительных случаях, работодатель должен принять локальный нормативный акт с учетом мнения профсоюза. Какие условия нужно прописать в таком случае – в таблице ниже.</w:t>
      </w:r>
    </w:p>
    <w:p w14:paraId="18AEF0A0" w14:textId="77777777" w:rsidR="00705377" w:rsidRDefault="00172B59">
      <w:pPr>
        <w:pStyle w:val="a5"/>
        <w:divId w:val="1577279836"/>
      </w:pPr>
      <w:r>
        <w:rPr>
          <w:rStyle w:val="a6"/>
        </w:rPr>
        <w:lastRenderedPageBreak/>
        <w:t xml:space="preserve">Таблица. Что прописать при временном переводе на </w:t>
      </w:r>
      <w:proofErr w:type="spellStart"/>
      <w:r>
        <w:rPr>
          <w:rStyle w:val="a6"/>
        </w:rPr>
        <w:t>удаленку</w:t>
      </w:r>
      <w:proofErr w:type="spellEnd"/>
      <w:r>
        <w:rPr>
          <w:rStyle w:val="a6"/>
        </w:rPr>
        <w:t xml:space="preserve"> в исключительных случаях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0"/>
        <w:gridCol w:w="6815"/>
      </w:tblGrid>
      <w:tr w:rsidR="00705377" w14:paraId="03122325" w14:textId="77777777">
        <w:trPr>
          <w:divId w:val="1210843140"/>
          <w:tblHeader/>
        </w:trPr>
        <w:tc>
          <w:tcPr>
            <w:tcW w:w="2655" w:type="dxa"/>
            <w:tcBorders>
              <w:bottom w:val="single" w:sz="6" w:space="0" w:color="000000"/>
            </w:tcBorders>
            <w:hideMark/>
          </w:tcPr>
          <w:p w14:paraId="0A51EC71" w14:textId="77777777" w:rsidR="00705377" w:rsidRDefault="00172B5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Обязательные условия</w:t>
            </w:r>
          </w:p>
        </w:tc>
        <w:tc>
          <w:tcPr>
            <w:tcW w:w="7590" w:type="dxa"/>
            <w:tcBorders>
              <w:bottom w:val="single" w:sz="6" w:space="0" w:color="000000"/>
            </w:tcBorders>
            <w:hideMark/>
          </w:tcPr>
          <w:p w14:paraId="03E85504" w14:textId="77777777" w:rsidR="00705377" w:rsidRDefault="00172B5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прописать</w:t>
            </w:r>
          </w:p>
        </w:tc>
      </w:tr>
      <w:tr w:rsidR="00705377" w14:paraId="41A70B0E" w14:textId="77777777">
        <w:trPr>
          <w:divId w:val="1210843140"/>
        </w:trPr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DAE7C1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для перевода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F9C27E" w14:textId="77777777" w:rsidR="00705377" w:rsidRDefault="00172B59">
            <w:pPr>
              <w:pStyle w:val="a5"/>
            </w:pPr>
            <w:r>
              <w:t xml:space="preserve">Приведите основания для перевода, которые установлены в </w:t>
            </w:r>
            <w:hyperlink r:id="rId11" w:anchor="/document/99/901807664/" w:history="1">
              <w:r>
                <w:rPr>
                  <w:rStyle w:val="a3"/>
                </w:rPr>
                <w:t>статье 312.9 ТК</w:t>
              </w:r>
            </w:hyperlink>
            <w:r>
              <w:t xml:space="preserve">. Например, в качестве основания можно указать акт органа власти о введении режима повышенной готовности и обязательной </w:t>
            </w:r>
            <w:proofErr w:type="spellStart"/>
            <w:r>
              <w:t>удаленки</w:t>
            </w:r>
            <w:proofErr w:type="spellEnd"/>
          </w:p>
        </w:tc>
      </w:tr>
      <w:tr w:rsidR="00705377" w14:paraId="7B68FC7E" w14:textId="77777777">
        <w:trPr>
          <w:divId w:val="1210843140"/>
        </w:trPr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05FE32A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Список сотрудников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9A9C3F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Укажите сотрудников, которых переводите на </w:t>
            </w:r>
            <w:proofErr w:type="spellStart"/>
            <w:r>
              <w:rPr>
                <w:rFonts w:eastAsia="Times New Roman"/>
              </w:rPr>
              <w:t>удаленку</w:t>
            </w:r>
            <w:proofErr w:type="spellEnd"/>
            <w:r>
              <w:rPr>
                <w:rFonts w:eastAsia="Times New Roman"/>
              </w:rPr>
              <w:t>. В зависимости от ситуации можно оставить отдельных сотрудников в офисе, например, чье присутствие на рабочем месте критически важно для работы</w:t>
            </w:r>
          </w:p>
        </w:tc>
      </w:tr>
      <w:tr w:rsidR="00705377" w14:paraId="51405CB7" w14:textId="77777777">
        <w:trPr>
          <w:divId w:val="1210843140"/>
        </w:trPr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AB654A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перевода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B597092" w14:textId="77777777" w:rsidR="00705377" w:rsidRDefault="00172B59">
            <w:pPr>
              <w:pStyle w:val="a5"/>
            </w:pPr>
            <w:r>
              <w:t>Срок перевода не должен быть больше, чем период действия обстоятельств, которые стали причиной перевода</w:t>
            </w:r>
          </w:p>
        </w:tc>
      </w:tr>
      <w:tr w:rsidR="00705377" w14:paraId="740AE3AB" w14:textId="77777777">
        <w:trPr>
          <w:divId w:val="1210843140"/>
        </w:trPr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31C3DB" w14:textId="77777777" w:rsidR="00705377" w:rsidRDefault="00172B59">
            <w:pPr>
              <w:pStyle w:val="a5"/>
            </w:pPr>
            <w:r>
              <w:t>Порядок обеспечения сотрудников техническими и иными средствами для работы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336732" w14:textId="77777777" w:rsidR="00705377" w:rsidRDefault="00172B59">
            <w:pPr>
              <w:pStyle w:val="a5"/>
            </w:pPr>
            <w:r>
              <w:t>Работодатель обязан обеспечить сотрудника необходимым оборудованием и средствами для дистанционной работы. При необходимости обучите сотрудников, как применять оборудование и другие средства, которые рекомендовали или предоставили. Сотрудники вправе использовать для работы свое или арендованное имущество</w:t>
            </w:r>
          </w:p>
        </w:tc>
      </w:tr>
      <w:tr w:rsidR="00705377" w14:paraId="668D2AC4" w14:textId="77777777">
        <w:trPr>
          <w:divId w:val="1210843140"/>
        </w:trPr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0CD16A6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выплаты компенсаций и затрат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EABE24" w14:textId="77777777" w:rsidR="00705377" w:rsidRDefault="00172B59">
            <w:pPr>
              <w:pStyle w:val="a5"/>
            </w:pPr>
            <w:r>
              <w:t>Пропишите порядок, в котором будете возмещать сотрудникам затраты, если они используют свое или арендованное имущество для работы. Также пропишите размеры компенсации других расходов, которые связаны с дистанционной работой. Например, в каком размере и на основании каких документов будете возмещать расходы на интернет, мобильную связь и пр.</w:t>
            </w:r>
          </w:p>
        </w:tc>
      </w:tr>
      <w:tr w:rsidR="00705377" w14:paraId="076ED56E" w14:textId="77777777">
        <w:trPr>
          <w:divId w:val="1210843140"/>
        </w:trPr>
        <w:tc>
          <w:tcPr>
            <w:tcW w:w="265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E8A2D" w14:textId="77777777" w:rsidR="00705377" w:rsidRDefault="00172B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организации труда</w:t>
            </w:r>
          </w:p>
        </w:tc>
        <w:tc>
          <w:tcPr>
            <w:tcW w:w="75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7CC8B" w14:textId="77777777" w:rsidR="00705377" w:rsidRDefault="00172B59">
            <w:pPr>
              <w:pStyle w:val="a5"/>
            </w:pPr>
            <w:r>
              <w:t xml:space="preserve">Определите порядок организации </w:t>
            </w:r>
            <w:proofErr w:type="gramStart"/>
            <w:r>
              <w:t>труда:</w:t>
            </w:r>
            <w:r>
              <w:br/>
              <w:t>–</w:t>
            </w:r>
            <w:proofErr w:type="gramEnd"/>
            <w:r>
              <w:t xml:space="preserve"> режим рабочего времени, в том числе в течение которого работники должны быть доступны для связи с работодателем;</w:t>
            </w:r>
            <w:r>
              <w:br/>
              <w:t>– порядок и способ взаимодействия, которые позволяли бы достоверно определить отправителя сообщения;</w:t>
            </w:r>
            <w:r>
              <w:br/>
              <w:t>– порядок и сроки, в которые работники должны представлять отчет о работе;</w:t>
            </w:r>
            <w:r>
              <w:br/>
              <w:t>– другие вопросы организации временной дистанционной работы.</w:t>
            </w:r>
          </w:p>
        </w:tc>
      </w:tr>
    </w:tbl>
    <w:p w14:paraId="41FE83C6" w14:textId="77777777" w:rsidR="00705377" w:rsidRDefault="00172B59">
      <w:pPr>
        <w:pStyle w:val="a5"/>
        <w:divId w:val="1577279836"/>
      </w:pPr>
      <w:r>
        <w:t xml:space="preserve">С локальным актом ознакомьте каждого сотрудника способом, который подтвердит, что он получил документ. Если специфика работы не позволяет перевести сотрудника на </w:t>
      </w:r>
      <w:proofErr w:type="spellStart"/>
      <w:r>
        <w:t>дистанционку</w:t>
      </w:r>
      <w:proofErr w:type="spellEnd"/>
      <w:r>
        <w:t>, объявите простой по независящим от сторон причинам. Время, пока сотрудник не работает, нужно оплатить – не менее 2/3 тарифной ставки или оклада (</w:t>
      </w:r>
      <w:hyperlink r:id="rId12" w:anchor="/document/99/901807664/XA00MBI2N2/" w:history="1">
        <w:r>
          <w:rPr>
            <w:rStyle w:val="a3"/>
          </w:rPr>
          <w:t>ст. 157 ТК</w:t>
        </w:r>
      </w:hyperlink>
      <w:r>
        <w:t>). Работодатель вправе установить более высокую оплату в коллективном договоре, соглашении или локальном нормативном акте.</w:t>
      </w:r>
    </w:p>
    <w:p w14:paraId="5C122037" w14:textId="77777777" w:rsidR="00705377" w:rsidRDefault="00172B59">
      <w:pPr>
        <w:pStyle w:val="3"/>
        <w:divId w:val="491720445"/>
        <w:rPr>
          <w:rFonts w:eastAsia="Times New Roman"/>
        </w:rPr>
      </w:pPr>
      <w:r>
        <w:rPr>
          <w:rFonts w:eastAsia="Times New Roman"/>
        </w:rPr>
        <w:t>​Компенсация расходов </w:t>
      </w:r>
    </w:p>
    <w:p w14:paraId="3E6ABD4A" w14:textId="77777777" w:rsidR="00705377" w:rsidRDefault="00172B59">
      <w:pPr>
        <w:pStyle w:val="a5"/>
        <w:divId w:val="1011570064"/>
      </w:pPr>
      <w:r>
        <w:lastRenderedPageBreak/>
        <w:t>Работодатель должен обеспечить дистанционного сотрудника оборудованием, программами, средствами защиты информации и другими средствами, которые необходимы для работы. Сотрудник с согласия или ведома работодателя и в его интересах вправе использовать в работе свое или арендованное оборудование, программы и иные средства.</w:t>
      </w:r>
    </w:p>
    <w:p w14:paraId="1FEC9B86" w14:textId="77777777" w:rsidR="00705377" w:rsidRDefault="00172B59">
      <w:pPr>
        <w:pStyle w:val="a5"/>
        <w:divId w:val="1011570064"/>
      </w:pPr>
      <w:r>
        <w:t xml:space="preserve">Работодатель выплачивает сотруднику компенсацию за использование в работе таких средств, а также возмещает расходы, связанные с таким использованием. Порядок, сроки и размеры таких выплат стороны устанавливают в трудовом договоре или соглашении к нему, коллективном договоре, локальном нормативном акте с учетом мнения профсоюза. Основание – </w:t>
      </w:r>
      <w:hyperlink r:id="rId13" w:anchor="/document/97/479910/dfas72l7r3/" w:history="1">
        <w:r>
          <w:rPr>
            <w:rStyle w:val="a3"/>
          </w:rPr>
          <w:t>статья 312.6 ТК</w:t>
        </w:r>
      </w:hyperlink>
      <w:r>
        <w:t>. </w:t>
      </w:r>
    </w:p>
    <w:p w14:paraId="53171CC6" w14:textId="77777777" w:rsidR="00705377" w:rsidRDefault="00172B59">
      <w:pPr>
        <w:pStyle w:val="2"/>
        <w:divId w:val="1947880154"/>
        <w:rPr>
          <w:rFonts w:eastAsia="Times New Roman"/>
        </w:rPr>
      </w:pPr>
      <w:r>
        <w:rPr>
          <w:rFonts w:eastAsia="Times New Roman"/>
        </w:rPr>
        <w:t>Обмен документами  </w:t>
      </w:r>
    </w:p>
    <w:p w14:paraId="38B7C181" w14:textId="77777777" w:rsidR="00705377" w:rsidRDefault="00172B59">
      <w:pPr>
        <w:pStyle w:val="a5"/>
        <w:divId w:val="1678267937"/>
      </w:pPr>
      <w:r>
        <w:t>Стороны вправе обмениваться при удаленной работе документами в электронном виде. В отдельных случаях работодатель должен использовать усиленную квалифицированную электронную подпись, а работник – аналогичную или усиленную неквалифицированную электронную подпись. Такие подписи нужны, чтобы заключить, изменить или расторгнуть:</w:t>
      </w:r>
    </w:p>
    <w:p w14:paraId="7C874914" w14:textId="77777777" w:rsidR="00705377" w:rsidRDefault="00172B59">
      <w:pPr>
        <w:numPr>
          <w:ilvl w:val="0"/>
          <w:numId w:val="2"/>
        </w:numPr>
        <w:spacing w:after="103"/>
        <w:ind w:left="1406"/>
        <w:divId w:val="1678267937"/>
        <w:rPr>
          <w:rFonts w:eastAsia="Times New Roman"/>
        </w:rPr>
      </w:pPr>
      <w:r>
        <w:rPr>
          <w:rFonts w:eastAsia="Times New Roman"/>
        </w:rPr>
        <w:t>трудовой договор;</w:t>
      </w:r>
    </w:p>
    <w:p w14:paraId="6D0B6E96" w14:textId="77777777" w:rsidR="00705377" w:rsidRDefault="00172B59">
      <w:pPr>
        <w:numPr>
          <w:ilvl w:val="0"/>
          <w:numId w:val="2"/>
        </w:numPr>
        <w:spacing w:after="103"/>
        <w:ind w:left="1406"/>
        <w:divId w:val="1678267937"/>
        <w:rPr>
          <w:rFonts w:eastAsia="Times New Roman"/>
        </w:rPr>
      </w:pPr>
      <w:r>
        <w:rPr>
          <w:rFonts w:eastAsia="Times New Roman"/>
        </w:rPr>
        <w:t>дополнительные соглашения к трудовому договору;</w:t>
      </w:r>
    </w:p>
    <w:p w14:paraId="6A9E671A" w14:textId="77777777" w:rsidR="00705377" w:rsidRDefault="00172B59">
      <w:pPr>
        <w:numPr>
          <w:ilvl w:val="0"/>
          <w:numId w:val="2"/>
        </w:numPr>
        <w:spacing w:after="103"/>
        <w:ind w:left="1406"/>
        <w:divId w:val="1678267937"/>
        <w:rPr>
          <w:rFonts w:eastAsia="Times New Roman"/>
        </w:rPr>
      </w:pPr>
      <w:r>
        <w:rPr>
          <w:rFonts w:eastAsia="Times New Roman"/>
        </w:rPr>
        <w:t>договор о материальной ответственности;</w:t>
      </w:r>
    </w:p>
    <w:p w14:paraId="59E63EF7" w14:textId="77777777" w:rsidR="00705377" w:rsidRDefault="00172B59">
      <w:pPr>
        <w:numPr>
          <w:ilvl w:val="0"/>
          <w:numId w:val="2"/>
        </w:numPr>
        <w:spacing w:after="103"/>
        <w:ind w:left="1406"/>
        <w:divId w:val="1678267937"/>
        <w:rPr>
          <w:rFonts w:eastAsia="Times New Roman"/>
        </w:rPr>
      </w:pPr>
      <w:r>
        <w:rPr>
          <w:rFonts w:eastAsia="Times New Roman"/>
        </w:rPr>
        <w:t>ученический договор.</w:t>
      </w:r>
    </w:p>
    <w:p w14:paraId="710A607F" w14:textId="77777777" w:rsidR="00705377" w:rsidRDefault="00172B59">
      <w:pPr>
        <w:pStyle w:val="a5"/>
        <w:divId w:val="1678267937"/>
      </w:pPr>
      <w:r>
        <w:t xml:space="preserve">В остальных случаях стороны вправе использовать любые электронные подписи или взаимодействовать другим способом, который сможет подтвердить, что каждая сторона получила документ. Способы, порядок взаимодействия и сроки для подтверждения пропишите в трудовом договоре или соглашении к нему, коллективном договоре или локальном нормативном акте с учетом мнения </w:t>
      </w:r>
      <w:proofErr w:type="gramStart"/>
      <w:r>
        <w:t>профсоюза.​</w:t>
      </w:r>
      <w:proofErr w:type="gramEnd"/>
      <w:r>
        <w:t>​​​​ Основание – </w:t>
      </w:r>
      <w:hyperlink r:id="rId14" w:anchor="/document/97/479910/dfasqiikfe/" w:history="1">
        <w:r>
          <w:rPr>
            <w:rStyle w:val="a3"/>
          </w:rPr>
          <w:t>статья 312.3 ТК</w:t>
        </w:r>
      </w:hyperlink>
      <w:r>
        <w:t>.</w:t>
      </w:r>
    </w:p>
    <w:p w14:paraId="3624CF04" w14:textId="77777777" w:rsidR="00705377" w:rsidRDefault="00172B59">
      <w:pPr>
        <w:pStyle w:val="a5"/>
        <w:divId w:val="1678267937"/>
      </w:pPr>
      <w:r>
        <w:t>Чтобы получить пособие в рамках обязательного социального страхования на случай временной нетрудоспособности и в связи с материнством дистанционный работник должен направить работодателю:</w:t>
      </w:r>
    </w:p>
    <w:p w14:paraId="3D268F11" w14:textId="77777777" w:rsidR="00705377" w:rsidRDefault="00172B59">
      <w:pPr>
        <w:numPr>
          <w:ilvl w:val="0"/>
          <w:numId w:val="3"/>
        </w:numPr>
        <w:spacing w:after="103"/>
        <w:ind w:left="1406"/>
        <w:divId w:val="1678267937"/>
        <w:rPr>
          <w:rFonts w:eastAsia="Times New Roman"/>
        </w:rPr>
      </w:pPr>
      <w:r>
        <w:rPr>
          <w:rFonts w:eastAsia="Times New Roman"/>
        </w:rPr>
        <w:t>либо оригиналы необходимых для назначения пособий документов по почте заказным письмом с уведомлением;</w:t>
      </w:r>
    </w:p>
    <w:p w14:paraId="0B4B4503" w14:textId="77777777" w:rsidR="00705377" w:rsidRDefault="00172B59">
      <w:pPr>
        <w:numPr>
          <w:ilvl w:val="0"/>
          <w:numId w:val="3"/>
        </w:numPr>
        <w:spacing w:after="103"/>
        <w:ind w:left="1406"/>
        <w:divId w:val="1678267937"/>
        <w:rPr>
          <w:rFonts w:eastAsia="Times New Roman"/>
        </w:rPr>
      </w:pPr>
      <w:r>
        <w:rPr>
          <w:rFonts w:eastAsia="Times New Roman"/>
        </w:rPr>
        <w:t>либо передать сведения о серии и номере листка нетрудоспособности в форме электронного документа, если медучреждение и работодатель являются участниками системы информационного взаимодействия по обмену сведениями в форме электронного документа.</w:t>
      </w:r>
    </w:p>
    <w:p w14:paraId="61A342A7" w14:textId="77777777" w:rsidR="00705377" w:rsidRDefault="00172B59">
      <w:pPr>
        <w:pStyle w:val="2"/>
        <w:divId w:val="1947880154"/>
        <w:rPr>
          <w:rFonts w:eastAsia="Times New Roman"/>
        </w:rPr>
      </w:pPr>
      <w:r>
        <w:rPr>
          <w:rFonts w:eastAsia="Times New Roman"/>
        </w:rPr>
        <w:t>Прием на работу </w:t>
      </w:r>
    </w:p>
    <w:p w14:paraId="4F40F435" w14:textId="77777777" w:rsidR="00705377" w:rsidRDefault="00172B59">
      <w:pPr>
        <w:pStyle w:val="a5"/>
        <w:divId w:val="1372412426"/>
      </w:pPr>
      <w:r>
        <w:t xml:space="preserve">Особенности приема на дистанционную работу установили в </w:t>
      </w:r>
      <w:hyperlink r:id="rId15" w:anchor="/document/97/479910/dfas695670/" w:history="1">
        <w:r>
          <w:rPr>
            <w:rStyle w:val="a3"/>
          </w:rPr>
          <w:t>статье 312.2 ТК</w:t>
        </w:r>
      </w:hyperlink>
      <w:r>
        <w:t xml:space="preserve">. При заключении трудового договора с условием работы на </w:t>
      </w:r>
      <w:proofErr w:type="spellStart"/>
      <w:r>
        <w:t>удаленке</w:t>
      </w:r>
      <w:proofErr w:type="spellEnd"/>
      <w:r>
        <w:t xml:space="preserve"> работодатель вправе потребовать от сотрудника представить документы из </w:t>
      </w:r>
      <w:hyperlink r:id="rId16" w:anchor="/document/99/901807664/XA00M9U2ND/" w:history="1">
        <w:r>
          <w:rPr>
            <w:rStyle w:val="a3"/>
          </w:rPr>
          <w:t>статьи 65</w:t>
        </w:r>
      </w:hyperlink>
      <w:r>
        <w:t xml:space="preserve"> ТК в электронном виде или в виде нотариально заверенных копий документов на бумажном носителе. Копии документов сотрудник должен прислать по почте заказным письмом с уведомлением о вручении.</w:t>
      </w:r>
    </w:p>
    <w:p w14:paraId="09E5728B" w14:textId="77777777" w:rsidR="00705377" w:rsidRDefault="00172B59">
      <w:pPr>
        <w:pStyle w:val="a5"/>
        <w:divId w:val="1372412426"/>
      </w:pPr>
      <w:r>
        <w:lastRenderedPageBreak/>
        <w:t>Если сотрудник впервые заключает трудовой договор, он самостоятельно должен получить документ о регистрации в системе индивидуального (персонифицированного) учета. Правило действует, когда стороны заключают договор в электронном виде.</w:t>
      </w:r>
    </w:p>
    <w:p w14:paraId="4267F771" w14:textId="77777777" w:rsidR="00705377" w:rsidRDefault="00172B59">
      <w:pPr>
        <w:pStyle w:val="a5"/>
        <w:divId w:val="1372412426"/>
      </w:pPr>
      <w:r>
        <w:t>По письменному запросу сотрудника направьте бумажный экземпляр трудового договора или соглашения к нему по почте заказным письмом с уведомлением. Срок – не позднее трех рабочих дней, как получили заявление от сотрудника.</w:t>
      </w:r>
    </w:p>
    <w:p w14:paraId="298C85B1" w14:textId="77777777" w:rsidR="00705377" w:rsidRDefault="00172B59">
      <w:pPr>
        <w:pStyle w:val="a5"/>
        <w:divId w:val="1372412426"/>
      </w:pPr>
      <w:r>
        <w:t>По желанию дистанционного работника сведения о его трудовой деятельности нужно внести в трудовую книжку, если он ее предоставил, за исключением случаев, когда трудовая книжка не ведется. Например, если сотрудник отказался от ведения трудовой книжки на бумаге или впервые принят на работу с 2021 года.</w:t>
      </w:r>
    </w:p>
    <w:p w14:paraId="0EF19066" w14:textId="77777777" w:rsidR="00705377" w:rsidRDefault="00172B59">
      <w:pPr>
        <w:pStyle w:val="2"/>
        <w:divId w:val="1947880154"/>
        <w:rPr>
          <w:rFonts w:eastAsia="Times New Roman"/>
        </w:rPr>
      </w:pPr>
      <w:r>
        <w:rPr>
          <w:rFonts w:eastAsia="Times New Roman"/>
        </w:rPr>
        <w:t xml:space="preserve">Увольнение на </w:t>
      </w:r>
      <w:proofErr w:type="spellStart"/>
      <w:r>
        <w:rPr>
          <w:rFonts w:eastAsia="Times New Roman"/>
        </w:rPr>
        <w:t>удаленке</w:t>
      </w:r>
      <w:proofErr w:type="spellEnd"/>
    </w:p>
    <w:p w14:paraId="643D5C43" w14:textId="77777777" w:rsidR="00705377" w:rsidRDefault="00172B59">
      <w:pPr>
        <w:pStyle w:val="a5"/>
        <w:divId w:val="1377923226"/>
      </w:pPr>
      <w:r>
        <w:t>Дистанционного сотрудника увольняют по общим основаниям, как и любого другого сотрудника (</w:t>
      </w:r>
      <w:hyperlink r:id="rId17" w:anchor="/document/99/901807664/ZA00MJ22NS/" w:tooltip="Статья 77. Общие основания прекращения трудового договора" w:history="1">
        <w:r>
          <w:rPr>
            <w:rStyle w:val="a3"/>
          </w:rPr>
          <w:t>ст. 77 ТК</w:t>
        </w:r>
      </w:hyperlink>
      <w:r>
        <w:t>). Дистанционного сотрудника также можно уволить еще в двух случаях.</w:t>
      </w:r>
    </w:p>
    <w:p w14:paraId="210973EC" w14:textId="77777777" w:rsidR="00705377" w:rsidRDefault="00172B59">
      <w:pPr>
        <w:pStyle w:val="a5"/>
        <w:divId w:val="1377923226"/>
      </w:pPr>
      <w:r>
        <w:t xml:space="preserve">Первый – сотрудник без уважительной причины не выходит на связь больше двух рабочих дней подряд. Исключение – работодатель установил более длительный срок в порядке взаимодействия с работником. Второй – сотрудник, который работает на </w:t>
      </w:r>
      <w:proofErr w:type="spellStart"/>
      <w:r>
        <w:t>дистанционке</w:t>
      </w:r>
      <w:proofErr w:type="spellEnd"/>
      <w:r>
        <w:t xml:space="preserve"> постоянно, переехал в другую местность и больше не может трудиться на прежних условиях. Основание – </w:t>
      </w:r>
      <w:hyperlink r:id="rId18" w:anchor="/document/97/479910/dfasduidgx/" w:history="1">
        <w:r>
          <w:rPr>
            <w:rStyle w:val="a3"/>
          </w:rPr>
          <w:t>статья 312.8 ТК</w:t>
        </w:r>
      </w:hyperlink>
      <w:r>
        <w:t>.</w:t>
      </w:r>
    </w:p>
    <w:p w14:paraId="02B0E8B3" w14:textId="77777777" w:rsidR="00705377" w:rsidRDefault="00172B59">
      <w:pPr>
        <w:pStyle w:val="a5"/>
        <w:divId w:val="1377923226"/>
      </w:pPr>
      <w:r>
        <w:t>Копию приказа об увольнении нужно направить работнику по почте заказным письмом с уведомлением. Сделать это необходимо в течение трех рабочих дней с даты увольнения.</w:t>
      </w:r>
    </w:p>
    <w:p w14:paraId="57DBC4D6" w14:textId="77777777" w:rsidR="00705377" w:rsidRDefault="00172B59">
      <w:pPr>
        <w:divId w:val="15669864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БСС «Система </w:t>
      </w:r>
      <w:proofErr w:type="gramStart"/>
      <w:r>
        <w:rPr>
          <w:rFonts w:ascii="Arial" w:eastAsia="Times New Roman" w:hAnsi="Arial" w:cs="Arial"/>
          <w:sz w:val="20"/>
          <w:szCs w:val="20"/>
        </w:rPr>
        <w:t>Главбух»</w:t>
      </w:r>
      <w:r>
        <w:rPr>
          <w:rFonts w:ascii="Arial" w:eastAsia="Times New Roman" w:hAnsi="Arial" w:cs="Arial"/>
          <w:sz w:val="20"/>
          <w:szCs w:val="20"/>
        </w:rPr>
        <w:br/>
        <w:t>https://usn.1gl.ru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30.11.2020</w:t>
      </w:r>
    </w:p>
    <w:sectPr w:rsidR="0070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150"/>
    <w:multiLevelType w:val="multilevel"/>
    <w:tmpl w:val="715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31550"/>
    <w:multiLevelType w:val="multilevel"/>
    <w:tmpl w:val="C5B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B13E7"/>
    <w:multiLevelType w:val="multilevel"/>
    <w:tmpl w:val="661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59"/>
    <w:rsid w:val="00172B59"/>
    <w:rsid w:val="00705377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242D9"/>
  <w15:chartTrackingRefBased/>
  <w15:docId w15:val="{75B428C6-C6FA-4C27-918F-2783D84D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6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2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64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n.1g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5" Type="http://schemas.openxmlformats.org/officeDocument/2006/relationships/image" Target="https://usn.1gl.ru/system/content/image/8/1/-3229236/" TargetMode="External"/><Relationship Id="rId15" Type="http://schemas.openxmlformats.org/officeDocument/2006/relationships/hyperlink" Target="https://usn.1gl.ru/" TargetMode="External"/><Relationship Id="rId10" Type="http://schemas.openxmlformats.org/officeDocument/2006/relationships/hyperlink" Target="https://usn.1g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SA</dc:creator>
  <cp:keywords/>
  <dc:description/>
  <cp:lastModifiedBy>ZhaboMA</cp:lastModifiedBy>
  <cp:revision>2</cp:revision>
  <dcterms:created xsi:type="dcterms:W3CDTF">2020-11-30T07:30:00Z</dcterms:created>
  <dcterms:modified xsi:type="dcterms:W3CDTF">2020-11-30T07:30:00Z</dcterms:modified>
</cp:coreProperties>
</file>