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6B2" w:rsidRPr="00CD66B2" w:rsidRDefault="00242DE4" w:rsidP="00242DE4">
      <w:pPr>
        <w:shd w:val="clear" w:color="auto" w:fill="FFFFFF"/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6"/>
          <w:szCs w:val="26"/>
          <w:lang w:eastAsia="ru-RU"/>
        </w:rPr>
      </w:pPr>
      <w:r w:rsidRPr="00CD66B2">
        <w:rPr>
          <w:rFonts w:ascii="Times New Roman" w:eastAsia="Times New Roman" w:hAnsi="Times New Roman" w:cs="Times New Roman"/>
          <w:b/>
          <w:bCs/>
          <w:color w:val="4D4D4D"/>
          <w:kern w:val="36"/>
          <w:sz w:val="26"/>
          <w:szCs w:val="26"/>
          <w:lang w:eastAsia="ru-RU"/>
        </w:rPr>
        <w:t>САМЫЕ ЗНАЧИМЫЕ НОВОВВЕДЕНИЯ МАЯ</w:t>
      </w: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4253"/>
        <w:gridCol w:w="2262"/>
      </w:tblGrid>
      <w:tr w:rsidR="00826E6E" w:rsidRPr="00242DE4" w:rsidTr="00242DE4">
        <w:tc>
          <w:tcPr>
            <w:tcW w:w="3119" w:type="dxa"/>
          </w:tcPr>
          <w:p w:rsidR="00826E6E" w:rsidRPr="00242DE4" w:rsidRDefault="00826E6E" w:rsidP="00242D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Новость</w:t>
            </w:r>
          </w:p>
        </w:tc>
        <w:tc>
          <w:tcPr>
            <w:tcW w:w="4253" w:type="dxa"/>
          </w:tcPr>
          <w:p w:rsidR="00826E6E" w:rsidRPr="00242DE4" w:rsidRDefault="00826E6E" w:rsidP="00242D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Пояснение</w:t>
            </w:r>
          </w:p>
        </w:tc>
        <w:tc>
          <w:tcPr>
            <w:tcW w:w="2262" w:type="dxa"/>
          </w:tcPr>
          <w:p w:rsidR="00826E6E" w:rsidRPr="00242DE4" w:rsidRDefault="00826E6E" w:rsidP="00242D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Ссылка</w:t>
            </w:r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Транспортные компании получили отсрочку по установке системы ГЛОНАСС</w:t>
            </w:r>
          </w:p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Обязательные требования по оснащению аппаратурой спутниковой навигации вступят в силу через год – 31 ма</w:t>
            </w:r>
            <w:r w:rsid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я 2021 года. Отсрочка касается 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пассажирских автобусов, вмещающих более восьми пассажиров, и транспортных средств, используемых для перевозки опасных грузов. (Постановление от 28 апреля 2020 года №597)</w:t>
            </w:r>
          </w:p>
        </w:tc>
        <w:tc>
          <w:tcPr>
            <w:tcW w:w="2262" w:type="dxa"/>
          </w:tcPr>
          <w:p w:rsidR="00826E6E" w:rsidRPr="00242DE4" w:rsidRDefault="002E5BF5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hyperlink r:id="rId5" w:history="1">
              <w:r w:rsidR="00826E6E" w:rsidRPr="00242DE4">
                <w:rPr>
                  <w:rFonts w:ascii="Times New Roman" w:hAnsi="Times New Roman" w:cs="Times New Roman"/>
                  <w:color w:val="000000"/>
                  <w:sz w:val="26"/>
                  <w:szCs w:val="26"/>
                  <w:shd w:val="clear" w:color="auto" w:fill="FFFFFF"/>
                </w:rPr>
                <w:t>http://government.ru/docs/39602/</w:t>
              </w:r>
            </w:hyperlink>
          </w:p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Ограничивается предельное значение банковских комиссий при переводах между физлицами (с 1 мая)</w:t>
            </w:r>
          </w:p>
        </w:tc>
        <w:tc>
          <w:tcPr>
            <w:tcW w:w="4253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числе мер по поддержке граждан, экономики и финансового сектора в условиях пандемии коронавируса Банк России предусмотрел установление с начала месяца предельного значения комиссий, взимаемых банками со своих клиентов при переводах между физлицами. Так, переводы в Системе быстрых платежей до 100 тыс. руб. в месяц будут осуществляться без взимания платы, а комиссия за переводы в СБП на сумму более 100 тыс. руб. в месяц не должна будет превышать 0,5% от суммы перевода, но в любом случае не более 1,5 тыс. руб. По мнению регулятора, это позволит обеспечить возможность для граждан беспрепятственно и в режиме онлайн осуществлять переводы между физлицами.</w:t>
            </w:r>
          </w:p>
        </w:tc>
        <w:tc>
          <w:tcPr>
            <w:tcW w:w="2262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http://www.garant.ru/article/1364428/#ixzz6Ldx6wZY6</w:t>
            </w:r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826E6E" w:rsidP="00826E6E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Обновится формат передачи отдельных документов в налоговую инспекцию по ТКС (с 1 мая)</w:t>
            </w:r>
          </w:p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26E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Будет скорректирован унифицированный формат транспортного контейнера при информационном взаимодействии с приемными комплексами налоговых органов по телекоммуникационным каналам связи с использованием электронной подписи. В частности, вводится новый формат описания представления отдельных документов в налоговые органы – версия 32</w:t>
            </w:r>
          </w:p>
        </w:tc>
        <w:tc>
          <w:tcPr>
            <w:tcW w:w="2262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Приказ ФНС России от 20 марта 2020 г. № ЕД-7-6/180@ "</w:t>
            </w:r>
            <w:hyperlink r:id="rId6" w:history="1">
              <w:r w:rsidRPr="00242DE4"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u w:val="none"/>
                  <w:bdr w:val="none" w:sz="0" w:space="0" w:color="auto" w:frame="1"/>
                </w:rPr>
                <w:t>О внесении изменений в приказ ФНС России от 09.11.2010 № ММВ-7-6/535@</w:t>
              </w:r>
            </w:hyperlink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ГАРАНТ.РУ: </w:t>
            </w:r>
            <w:hyperlink r:id="rId7" w:anchor="ixzz6LdxRN8bn" w:history="1">
              <w:r w:rsidRPr="00242DE4">
                <w:rPr>
                  <w:rStyle w:val="a3"/>
                  <w:rFonts w:ascii="Times New Roman" w:hAnsi="Times New Roman" w:cs="Times New Roman"/>
                  <w:color w:val="003399"/>
                  <w:sz w:val="26"/>
                  <w:szCs w:val="26"/>
                  <w:u w:val="none"/>
                  <w:bdr w:val="none" w:sz="0" w:space="0" w:color="auto" w:frame="1"/>
                </w:rPr>
                <w:t>http://www.garant.ru/article/1364428/#ixzz6LdxRN8bn</w:t>
              </w:r>
            </w:hyperlink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Начнет работать сервис для выплат субсидий малому и среднему бизнесу (с 1 мая) </w:t>
            </w:r>
          </w:p>
        </w:tc>
        <w:tc>
          <w:tcPr>
            <w:tcW w:w="4253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Постановление Правительства РФ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инфекции"</w:t>
            </w:r>
          </w:p>
        </w:tc>
        <w:tc>
          <w:tcPr>
            <w:tcW w:w="2262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ГАРАНТ.РУ: http://www.garant.ru/article/1364428/#ixzz6LdvrpVDo </w:t>
            </w:r>
          </w:p>
          <w:p w:rsidR="00242DE4" w:rsidRDefault="00242DE4" w:rsidP="00826E6E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FF0000"/>
                <w:sz w:val="26"/>
                <w:szCs w:val="26"/>
                <w:shd w:val="clear" w:color="auto" w:fill="FFFFFF"/>
              </w:rPr>
              <w:t xml:space="preserve">ССЫЛКА на сервис </w:t>
            </w:r>
            <w:hyperlink r:id="rId8" w:history="1">
              <w:r w:rsidR="00E20CCF" w:rsidRPr="00242DE4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https://service.nalog.ru/subsidy/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Продлевается срок подачи туроператорами уведомлений о возврате туристам денег за счет средств фондов персональной ответственности (до 6 мая) </w:t>
            </w:r>
            <w:r w:rsidRPr="00242D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COVID-19</w:t>
            </w: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Согласно распоряжению Правительства РФ от 4 апреля 2020 г. № 898-р туроператоры вправе использовать накопленные средства фонда персональной ответственности туроператора для возврата туристам денег за сорванные из-за коронавируса туры. Ранее срок подачи уведомления в объединение туроператоров в сфере выездного туризма об использовании средств ФПО на указанные цели был установлен до 15 апреля. Однако в связи с тем, что эта дата совпадает с нерабочим днем, установленным Указом Президента РФ от 2 апреля 2020 г. № 239, Ростуризм решил перенести крайний срок представления уведомления на 6 мая. Вероятно, что из-за продления периода нерабочих дней на 6-8 мая и с учетом майских праздников срок представления уведомления будет смещен на первый рабочий день в мае – 12 мая.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E20CCF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Информация Ростуризма от 15 апреля 2020 г. "</w:t>
            </w:r>
            <w:hyperlink r:id="rId9" w:history="1">
              <w:r w:rsidRPr="00242DE4">
                <w:rPr>
                  <w:rStyle w:val="a3"/>
                  <w:rFonts w:ascii="Times New Roman" w:hAnsi="Times New Roman" w:cs="Times New Roman"/>
                  <w:color w:val="808080"/>
                  <w:sz w:val="26"/>
                  <w:szCs w:val="26"/>
                  <w:u w:val="none"/>
                  <w:bdr w:val="none" w:sz="0" w:space="0" w:color="auto" w:frame="1"/>
                </w:rPr>
                <w:t>О порядке использования средств фондов персональной ответственности туроператоров для выплат туристам</w:t>
              </w:r>
            </w:hyperlink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" 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ГАРАНТ.РУ: </w:t>
            </w:r>
            <w:hyperlink r:id="rId10" w:anchor="ixzz6LdztuHrz" w:history="1">
              <w:r w:rsidRPr="00242DE4">
                <w:rPr>
                  <w:rStyle w:val="a3"/>
                  <w:rFonts w:ascii="Times New Roman" w:hAnsi="Times New Roman" w:cs="Times New Roman"/>
                  <w:color w:val="003399"/>
                  <w:sz w:val="26"/>
                  <w:szCs w:val="26"/>
                  <w:u w:val="none"/>
                  <w:bdr w:val="none" w:sz="0" w:space="0" w:color="auto" w:frame="1"/>
                </w:rPr>
                <w:t>http://www.garant.ru/article/1364428/#ixzz6LdztuHrz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Продлены сроки подтверждения страхователем основанного вида экономической деятельности (до 12 мая) </w:t>
            </w:r>
            <w:r w:rsidRPr="00242D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COVID-19</w:t>
            </w: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Изначально срок представления страхователями документов для подтверждения основного вида экономической деятельности был перенесен на 6 мая, однако в связи с объявлением периода с 6 по 8 мая включительно нерабочими днями и с учетом майских праздников ФСС России решил продлить этот срок до 12 мая. При этом подчеркивается, что перенос сроков распространяется только на тех страхователей, для которых период 6-8 мая признан нерабочим.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Что касается отчетности по страховым взносам на ОСС (пенсионное, медицинское, на случай временной нетрудоспособности и в связи с материнством), то в целях обеспечения единообразного подхода к представлению страхователями такой отчетности ФСС России посчитал возможным продлить сроки представления расчетов по начисленным и уплаченным страховым взносам за I квартал 2020 года по форме 4-ФСС до 15 мая.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E20CCF" w:rsidRDefault="002E5BF5" w:rsidP="00E20CCF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E20CCF" w:rsidRPr="00242DE4">
                <w:rPr>
                  <w:rFonts w:ascii="Times New Roman" w:eastAsia="Times New Roman" w:hAnsi="Times New Roman" w:cs="Times New Roman"/>
                  <w:iCs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Письмо ФСС России от 13 апреля 2020 г. № 02-09-11/06-06-8452</w:t>
              </w:r>
            </w:hyperlink>
          </w:p>
          <w:p w:rsidR="00E20CCF" w:rsidRPr="00E20CCF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Информация ФСС России от 29 апреля 2020 г. "</w:t>
            </w:r>
            <w:hyperlink r:id="rId12" w:history="1">
              <w:r w:rsidRPr="00242DE4">
                <w:rPr>
                  <w:rFonts w:ascii="Times New Roman" w:eastAsia="Times New Roman" w:hAnsi="Times New Roman" w:cs="Times New Roman"/>
                  <w:iCs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Разъяснение о продлении срока представления страхователями документов для подтверждения основного вида экономической деятельности в период действия ограничительных мер, применяемых для борьбы с распространением новой коронавирусной инфекции</w:t>
              </w:r>
            </w:hyperlink>
            <w:r w:rsidRPr="00242D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"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42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ГАРАНТ.РУ: </w:t>
            </w:r>
            <w:hyperlink r:id="rId13" w:anchor="ixzz6Le0FMfo3" w:history="1">
              <w:r w:rsidRPr="00242DE4">
                <w:rPr>
                  <w:rFonts w:ascii="Times New Roman" w:eastAsia="Times New Roman" w:hAnsi="Times New Roman" w:cs="Times New Roman"/>
                  <w:color w:val="003399"/>
                  <w:sz w:val="26"/>
                  <w:szCs w:val="26"/>
                  <w:bdr w:val="none" w:sz="0" w:space="0" w:color="auto" w:frame="1"/>
                  <w:lang w:eastAsia="ru-RU"/>
                </w:rPr>
                <w:t>http://www.garant.ru/article/1364428/#ixzz6Le0FMfo3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Перенесен крайний срок сдачи налоговой декларации по НДС (на 15 мая) </w:t>
            </w:r>
            <w:r w:rsidRPr="00242D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COVID-19</w:t>
            </w: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 общему правилу, налогоплательщики обязаны представить в налоговые органы по месту своего учета квартальную налоговую декларацию по НДС в срок не позднее 25-го числа месяца, следующего за истекшим налоговым периодом, то есть до 25 апреля (п. 5 ст. 174 НК РФ). Однако в связи с нерабочими днями в апреле и майскими праздниками ФНС России решила продлить срок сдачи такой декларации до 15 мая. Напомним, декларация по НДС направляется в электронной форме по ТКС через оператора электронного документооборота.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Продление сроков представления деклараций и сроков уплаты налогов (взносов) в соответствии с Постановлением Правительства РФ № 409 от 2 апреля 2020 г. (подготовлено ФНС России, 25 апреля 2020 г.)</w:t>
            </w:r>
          </w:p>
          <w:p w:rsidR="00E20CCF" w:rsidRPr="00242DE4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</w:p>
          <w:p w:rsidR="00E20CCF" w:rsidRPr="00242DE4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ГАРАНТ.РУ: http://www.garant.ru/article/1364428/#ixzz6Le0S23to</w:t>
            </w:r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Продлено приостановление применения мер взыскания налоговой задолженности (до 31 мая) </w:t>
            </w:r>
            <w:r w:rsidRPr="00242DE4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COVID-19</w:t>
            </w:r>
            <w:r w:rsidRPr="00242DE4">
              <w:rPr>
                <w:rStyle w:val="a6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Такое послабление предусмотрено в рамках реализации мер поддержки бизнеса в условиях распространения новой коронавирусной инфекции. Оно распространяется на всех налогоплательщиков – юрлиц и ИП, включая МСБ и субъектов, осуществляющих деятельность в наиболее пострадавших от пандемии сферах. Однако останется возможность в исключительных случаях (если будет установлено, что непринятие мер взыскания задолженности может повлечь сокрытие активов или возможность совершения иных препятствующих взысканию действий) применять меры взыскания и обеспечительные меры по согласованию с руководителем вышестоящего налогового органа.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242DE4" w:rsidP="00E20CCF">
            <w:pPr>
              <w:spacing w:after="255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Письмо ФНС России от 27 апреля 2020 г. № ЕД-20-8/53@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ГАРАНТ.РУ: </w:t>
            </w:r>
            <w:hyperlink r:id="rId14" w:anchor="ixzz6Le0fYDRM" w:history="1">
              <w:r w:rsidRPr="00242DE4">
                <w:rPr>
                  <w:rStyle w:val="a3"/>
                  <w:rFonts w:ascii="Times New Roman" w:hAnsi="Times New Roman" w:cs="Times New Roman"/>
                  <w:color w:val="003399"/>
                  <w:sz w:val="26"/>
                  <w:szCs w:val="26"/>
                  <w:u w:val="none"/>
                  <w:bdr w:val="none" w:sz="0" w:space="0" w:color="auto" w:frame="1"/>
                </w:rPr>
                <w:t>http://www.garant.ru/article/1364428/#ixzz6Le0fYDRM</w:t>
              </w:r>
            </w:hyperlink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Возобновится проведение проверок бизнеса (с 1 мая)</w:t>
            </w:r>
          </w:p>
        </w:tc>
        <w:tc>
          <w:tcPr>
            <w:tcW w:w="4253" w:type="dxa"/>
          </w:tcPr>
          <w:p w:rsidR="00826E6E" w:rsidRPr="00242DE4" w:rsidRDefault="00826E6E" w:rsidP="00826E6E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18 марта Правительство РФ поручило федеральным органам исполнительной власти временно приостановить назначение проверок, предусмотренных в рамках положений Федерального закона от 26 декабря 2008 г.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выездных налоговых и плановых выездных таможенных проверок. Период "надзорного карантина" предусмотрен до 1 мая. Пока дополнительных решений о его продлении не принято. Исключения предусмотрены только для МСБ – постановлением Правительства РФ от 3 апреля 2020 г. № 438 приостановлены плановые проверки малого и среднего бизнеса до конца 2020 года. Это касается выездных проверок, начатых ранее, выездных налоговых проверок, проверок онлайн-касс и контроля за соблюдением требований валютного законодательства.</w:t>
            </w:r>
          </w:p>
        </w:tc>
        <w:tc>
          <w:tcPr>
            <w:tcW w:w="2262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Поручение Правительства РФ от 18 марта 2020 г. 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Приказ ФНС России от 20 марта 2020 г. № ЕД-7-2/181@ "О принятии в рамках осуществления контроля и надзора неотложных мер в целях предупреждения возникновения и распространения коронавирусной инфекции"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26E6E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ГАРАНТ.РУ: http://www.garant.ru/article/1364428/#ixzz6Ldy91NNM</w:t>
            </w:r>
          </w:p>
        </w:tc>
      </w:tr>
      <w:tr w:rsidR="00826E6E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Вводится обязанность пассажира при оформлении билета на поезд указывать номер своего мобильного телефона (с 3 мая)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26E6E" w:rsidRPr="00242DE4" w:rsidRDefault="00826E6E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Это касается пассажиров, пользующихся услугами перевозки железнодорожным транспортом.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26E6E" w:rsidRPr="00242DE4" w:rsidRDefault="00826E6E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Приказ Минтранса России от 13 апреля 2020 г. № 118 "О внесении изменений в Правила перевозок пассажиров, багажа, грузобагажа железнодорожным транспортом, утвержденные приказом Министерства транспорта Российской Федерации от 19 декабря 2013 г. № 473" 73931115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Информация ОАО "РЖД" от 22 апреля 2020 г. "При покупке билета пассажиры должны указывать контактную информацию" 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826E6E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ГАРАНТ.РУ: http://www.garant.ru/article/1364428/#ixzz6Ldyb8QYt</w:t>
            </w:r>
          </w:p>
        </w:tc>
      </w:tr>
      <w:tr w:rsidR="00826E6E" w:rsidRPr="00242DE4" w:rsidTr="00242DE4">
        <w:tc>
          <w:tcPr>
            <w:tcW w:w="3119" w:type="dxa"/>
          </w:tcPr>
          <w:p w:rsidR="00826E6E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Изменится порядок расчета долговой нагрузки заемщика (с 3 мая)</w:t>
            </w:r>
          </w:p>
        </w:tc>
        <w:tc>
          <w:tcPr>
            <w:tcW w:w="4253" w:type="dxa"/>
          </w:tcPr>
          <w:p w:rsidR="00826E6E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частности, будут скорректированы правила дифференциации надбавок к коэффициентам риска по отдельному виду активов – дополнительно будет учитываться размер первоначального взноса за счет собственных денежных средств заемщика по кредитам (займам), предоставленным физлицам в рублях на финансирование по договору долевого участия в строительстве. Между тем, при расчете величины среднемесячного дохода заемщика кредитная организация получит право включать в сумму доходов заемщика доход, подтвержденный сведениями о выплатах, произведенных плательщиками страховых взносов в пользу физлиц. Такие сведения можно будет получить из информационной системы ФНС России за соответствующий период, равный 12 календарным месяцам и заканчивающийся не ранее четырех календарных месяцев, предшествующих месяцу расчета показателя долговой нагрузки.</w:t>
            </w:r>
          </w:p>
        </w:tc>
        <w:tc>
          <w:tcPr>
            <w:tcW w:w="2262" w:type="dxa"/>
          </w:tcPr>
          <w:p w:rsidR="00E20CCF" w:rsidRPr="00E20CCF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Правильно подготовить методику расчета показателя долговой нагрузки заемщика-физлица помогут Методические рекомендации Банка России от 14 февраля 2020 г. № 3-МР "</w:t>
            </w:r>
            <w:hyperlink r:id="rId15" w:history="1">
              <w:r w:rsidRPr="00242DE4">
                <w:rPr>
                  <w:rFonts w:ascii="Times New Roman" w:eastAsia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По подготовке кредитными организациями методики расчета показателя долговой нагрузки заемщика</w:t>
              </w:r>
            </w:hyperlink>
            <w:r w:rsidRPr="00E20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".</w:t>
            </w:r>
          </w:p>
          <w:p w:rsidR="00E20CCF" w:rsidRPr="00E20CCF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20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Указание Банка России от 24 марта 2020 г. № 5418-У "</w:t>
            </w:r>
            <w:hyperlink r:id="rId16" w:history="1">
              <w:r w:rsidRPr="00242DE4">
                <w:rPr>
                  <w:rFonts w:ascii="Times New Roman" w:eastAsia="Times New Roman" w:hAnsi="Times New Roman" w:cs="Times New Roman"/>
                  <w:color w:val="808080"/>
                  <w:sz w:val="26"/>
                  <w:szCs w:val="26"/>
                  <w:bdr w:val="none" w:sz="0" w:space="0" w:color="auto" w:frame="1"/>
                  <w:lang w:eastAsia="ru-RU"/>
                </w:rPr>
                <w:t>О внесении изменений в Указание Банка России от 31 августа 2018 года № 4892-У "О видах активов, характеристиках видов активов, к которым устанавливаются надбавки к коэффициентам риска, и методике применения к указанным видам активов надбавок в целях расчета кредитными организациями нормативов достаточности капитала</w:t>
              </w:r>
            </w:hyperlink>
            <w:r w:rsidRPr="00E20C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  <w:p w:rsidR="00826E6E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242D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ГАРАНТ.РУ: </w:t>
            </w:r>
            <w:hyperlink r:id="rId17" w:anchor="ixzz6Ldypc3i9" w:history="1">
              <w:r w:rsidRPr="00242DE4">
                <w:rPr>
                  <w:rFonts w:ascii="Times New Roman" w:eastAsia="Times New Roman" w:hAnsi="Times New Roman" w:cs="Times New Roman"/>
                  <w:color w:val="003399"/>
                  <w:sz w:val="26"/>
                  <w:szCs w:val="26"/>
                  <w:bdr w:val="none" w:sz="0" w:space="0" w:color="auto" w:frame="1"/>
                  <w:lang w:eastAsia="ru-RU"/>
                </w:rPr>
                <w:t>http://www.garant.ru/article/1364428/#ixzz6Ldypc3i9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Стартует эксперимент по использованию электронных кадровых документов (с 5 мая)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Речь идет о возможности использования в электронном виде без дублирования на бумажном носителе документов, связанных с работой, за исключением трудовых книжек и электронных сведений о трудовой деятельности работников. Эксперимент по электронному кадровому документообороту будет проводиться на добровольной основе и продлится до 31 марта 2021 года включительно.</w:t>
            </w:r>
          </w:p>
        </w:tc>
        <w:tc>
          <w:tcPr>
            <w:tcW w:w="2262" w:type="dxa"/>
          </w:tcPr>
          <w:p w:rsidR="00E20CCF" w:rsidRPr="00242DE4" w:rsidRDefault="00E20CCF" w:rsidP="00E20CCF">
            <w:pPr>
              <w:spacing w:after="2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Федеральный закон от 24 апреля 2020 г. № 122-ФЗ "</w:t>
            </w:r>
            <w:hyperlink r:id="rId18" w:history="1">
              <w:r w:rsidRPr="00242DE4">
                <w:rPr>
                  <w:rStyle w:val="a3"/>
                  <w:rFonts w:ascii="Times New Roman" w:hAnsi="Times New Roman" w:cs="Times New Roman"/>
                  <w:iCs/>
                  <w:color w:val="808080"/>
                  <w:sz w:val="26"/>
                  <w:szCs w:val="26"/>
                  <w:bdr w:val="none" w:sz="0" w:space="0" w:color="auto" w:frame="1"/>
                </w:rPr>
                <w:t>О проведении эксперимента по использованию электронных документов, связанных с работой</w:t>
              </w:r>
            </w:hyperlink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"</w:t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ГАРАНТ.РУ: </w:t>
            </w:r>
            <w:hyperlink r:id="rId19" w:anchor="ixzz6Ldz4eNmk" w:history="1">
              <w:r w:rsidRPr="00242DE4">
                <w:rPr>
                  <w:rStyle w:val="a3"/>
                  <w:rFonts w:ascii="Times New Roman" w:hAnsi="Times New Roman" w:cs="Times New Roman"/>
                  <w:color w:val="003399"/>
                  <w:sz w:val="26"/>
                  <w:szCs w:val="26"/>
                  <w:bdr w:val="none" w:sz="0" w:space="0" w:color="auto" w:frame="1"/>
                </w:rPr>
                <w:t>http://www.garant.ru/article/1364428/#ixzz6Ldz4eNmk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Вводятся ограничения на продажу алкоголя на объектах общепита в МКД (с 5 мая)</w:t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Розничная продажа алкогольной продукции при оказании услуг общепита в объектах общепита, расположенных в МКД или на прилегающих к ним территориях, будет возможна только при условии, что общая площадь зала обслуживания посетителей составляет не менее 20 кв. м. При этом у регионов будет право устанавливать дополнительные ограничения розничной продажи алкоголя при оказании услуг общественного питания в помещениях МКД, в том числе вводить полный запрет на такую продажу.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Федеральный закон от 24 апреля 2020 г. № 145-ФЗ "О внесении изменений в статью 16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ГАРАНТ.РУ: </w:t>
            </w:r>
            <w:hyperlink r:id="rId20" w:anchor="ixzz6LdzHXHuW" w:history="1">
              <w:r w:rsidRPr="00242DE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http://www.garant.ru/article/1364428/#ixzz6LdzHXHuW</w:t>
              </w:r>
            </w:hyperlink>
          </w:p>
        </w:tc>
      </w:tr>
      <w:tr w:rsidR="00E20CCF" w:rsidRPr="00242DE4" w:rsidTr="00242DE4">
        <w:tc>
          <w:tcPr>
            <w:tcW w:w="3119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Style w:val="a6"/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Изменятся правила противопожарного режима (с 5 мая)</w:t>
            </w:r>
          </w:p>
        </w:tc>
        <w:tc>
          <w:tcPr>
            <w:tcW w:w="4253" w:type="dxa"/>
          </w:tcPr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42DE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частности, будет исключено требование о минимальном противопожарном расстоянии в 15 м между временными и капитальными строениями. Кроме того, в правилах появится отдельный раздел, устанавливающий требования пожарной безопасности для детских лагерей палаточного типа. Также будет скорректировано понятие "открытый огонь".</w:t>
            </w: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E20CCF" w:rsidRPr="00242DE4" w:rsidRDefault="00E20CCF" w:rsidP="00E20CC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2" w:type="dxa"/>
          </w:tcPr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>Постановление Правительства РФ от 23 апреля 2020 г. № 569 "О внесении изменений в Правила противопожарного режима в Российской Федерации и признании утратившим силу абзаца второго пункта 38 изменений, которые вносятся в Правила противопожарного режима в Российской Федерации"</w:t>
            </w:r>
          </w:p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</w:p>
          <w:p w:rsidR="00E20CCF" w:rsidRPr="00242DE4" w:rsidRDefault="00E20CCF" w:rsidP="00E20CCF">
            <w:pPr>
              <w:spacing w:after="255"/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242DE4">
              <w:rPr>
                <w:rStyle w:val="a8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  <w:t xml:space="preserve">ГАРАНТ.РУ: </w:t>
            </w:r>
            <w:hyperlink r:id="rId21" w:anchor="ixzz6LdzV7A4A" w:history="1">
              <w:r w:rsidRPr="00242DE4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http://www.garant.ru/article/1364428/#ixzz6LdzV7A4A</w:t>
              </w:r>
            </w:hyperlink>
          </w:p>
        </w:tc>
      </w:tr>
    </w:tbl>
    <w:p w:rsidR="00CD66B2" w:rsidRPr="00242DE4" w:rsidRDefault="00826E6E" w:rsidP="00242DE4">
      <w:pPr>
        <w:pStyle w:val="a4"/>
        <w:spacing w:after="255" w:line="240" w:lineRule="auto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7F4E4"/>
        </w:rPr>
      </w:pPr>
      <w:r w:rsidRPr="00242DE4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CD66B2" w:rsidRPr="00242DE4" w:rsidRDefault="00CD66B2">
      <w:pPr>
        <w:rPr>
          <w:rFonts w:ascii="Times New Roman" w:hAnsi="Times New Roman" w:cs="Times New Roman"/>
          <w:sz w:val="26"/>
          <w:szCs w:val="26"/>
        </w:rPr>
      </w:pPr>
    </w:p>
    <w:sectPr w:rsidR="00CD66B2" w:rsidRPr="0024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4F77"/>
    <w:multiLevelType w:val="hybridMultilevel"/>
    <w:tmpl w:val="EF9E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A3796"/>
    <w:multiLevelType w:val="hybridMultilevel"/>
    <w:tmpl w:val="EF9E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48"/>
    <w:rsid w:val="00242DE4"/>
    <w:rsid w:val="002E5BF5"/>
    <w:rsid w:val="00573457"/>
    <w:rsid w:val="006E0A48"/>
    <w:rsid w:val="00826E6E"/>
    <w:rsid w:val="00CD66B2"/>
    <w:rsid w:val="00E2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1996-93CA-40E0-BE96-C6E1A56D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6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26E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6E6E"/>
    <w:rPr>
      <w:b/>
      <w:bCs/>
    </w:rPr>
  </w:style>
  <w:style w:type="table" w:styleId="a7">
    <w:name w:val="Table Grid"/>
    <w:basedOn w:val="a1"/>
    <w:uiPriority w:val="39"/>
    <w:rsid w:val="0082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20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ubsidy/" TargetMode="External" /><Relationship Id="rId13" Type="http://schemas.openxmlformats.org/officeDocument/2006/relationships/hyperlink" Target="http://www.garant.ru/article/1364428/" TargetMode="External" /><Relationship Id="rId18" Type="http://schemas.openxmlformats.org/officeDocument/2006/relationships/hyperlink" Target="http://base.garant.ru/73944977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://www.garant.ru/article/1364428/" TargetMode="External" /><Relationship Id="rId7" Type="http://schemas.openxmlformats.org/officeDocument/2006/relationships/hyperlink" Target="http://www.garant.ru/article/1364428/" TargetMode="External" /><Relationship Id="rId12" Type="http://schemas.openxmlformats.org/officeDocument/2006/relationships/hyperlink" Target="http://www.garant.ru/hotlaw/federal/1364434/" TargetMode="External" /><Relationship Id="rId17" Type="http://schemas.openxmlformats.org/officeDocument/2006/relationships/hyperlink" Target="http://www.garant.ru/article/1364428/" TargetMode="External" /><Relationship Id="rId2" Type="http://schemas.openxmlformats.org/officeDocument/2006/relationships/styles" Target="styles.xml" /><Relationship Id="rId16" Type="http://schemas.openxmlformats.org/officeDocument/2006/relationships/hyperlink" Target="http://base.garant.ru/73931845/" TargetMode="External" /><Relationship Id="rId20" Type="http://schemas.openxmlformats.org/officeDocument/2006/relationships/hyperlink" Target="http://www.garant.ru/article/1364428/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://base.garant.ru/73784403/" TargetMode="External" /><Relationship Id="rId11" Type="http://schemas.openxmlformats.org/officeDocument/2006/relationships/hyperlink" Target="http://base.garant.ru/73885145/" TargetMode="External" /><Relationship Id="rId5" Type="http://schemas.openxmlformats.org/officeDocument/2006/relationships/hyperlink" Target="http://government.ru/docs/39602/" TargetMode="External" /><Relationship Id="rId15" Type="http://schemas.openxmlformats.org/officeDocument/2006/relationships/hyperlink" Target="http://base.garant.ru/73645264/" TargetMode="External" /><Relationship Id="rId23" Type="http://schemas.openxmlformats.org/officeDocument/2006/relationships/theme" Target="theme/theme1.xml" /><Relationship Id="rId10" Type="http://schemas.openxmlformats.org/officeDocument/2006/relationships/hyperlink" Target="http://www.garant.ru/article/1364428/" TargetMode="External" /><Relationship Id="rId19" Type="http://schemas.openxmlformats.org/officeDocument/2006/relationships/hyperlink" Target="http://www.garant.ru/article/1364428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base.garant.ru/73896064/" TargetMode="External" /><Relationship Id="rId14" Type="http://schemas.openxmlformats.org/officeDocument/2006/relationships/hyperlink" Target="http://www.garant.ru/article/1364428/" TargetMode="External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BogdanovskayaA</dc:creator>
  <cp:keywords/>
  <dc:description/>
  <cp:lastModifiedBy>Гость</cp:lastModifiedBy>
  <cp:revision>2</cp:revision>
  <dcterms:created xsi:type="dcterms:W3CDTF">2020-05-06T09:27:00Z</dcterms:created>
  <dcterms:modified xsi:type="dcterms:W3CDTF">2020-05-06T09:27:00Z</dcterms:modified>
</cp:coreProperties>
</file>