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8B5" w:rsidRPr="00E208B5" w:rsidRDefault="00E208B5" w:rsidP="00E208B5">
      <w:pPr>
        <w:rPr>
          <w:b/>
          <w:bCs/>
        </w:rPr>
      </w:pPr>
      <w:r w:rsidRPr="00E208B5">
        <w:rPr>
          <w:b/>
          <w:bCs/>
        </w:rPr>
        <w:t>Полномочия региональных властей на установление дополнительных ограничений продажи алкоголя могут расширить</w:t>
      </w:r>
    </w:p>
    <w:p w:rsidR="00E208B5" w:rsidRPr="00E208B5" w:rsidRDefault="00E208B5" w:rsidP="00E208B5">
      <w:r w:rsidRPr="00E208B5">
        <w:t>20 мая 2019</w:t>
      </w:r>
    </w:p>
    <w:p w:rsidR="00E208B5" w:rsidRPr="00E208B5" w:rsidRDefault="00E208B5" w:rsidP="00E208B5">
      <w:r w:rsidRPr="00E208B5">
        <w:t>В Госдуму внесен законопроект, предусматривающий право органов госвласти субъектов РФ устанавливать дополнительные ограничения времени, условий и мест розничной продажи алкогольной продукции, в т. ч. при оказании услуг общественного питания. Также в документе содержится правомочие региональных властей на установление полного запрета на розничную продажу алкогольной продукции.</w:t>
      </w:r>
    </w:p>
    <w:p w:rsidR="00E208B5" w:rsidRPr="00E208B5" w:rsidRDefault="00E208B5" w:rsidP="00E208B5">
      <w:r w:rsidRPr="00E208B5">
        <w:t>Напомним, действующее законодательство допускает возможность органов госвласти субъектов РФ устанавливать дополнительные ограничения времени, условий и мест розничной продажи алкогольной продукции и запрет на ее продажу, но такие правомочия не распространяются на розничную продажу алкогольной продукции при оказании услуг общественного питания (абз. 2 п. 9 ст. 16 Федерального закона от 22 ноября 1995 г. № 171-ФЗ "</w:t>
      </w:r>
      <w:hyperlink r:id="rId5" w:anchor="block_1609" w:history="1">
        <w:r w:rsidRPr="00E208B5">
          <w:rPr>
            <w:rStyle w:val="a3"/>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sidRPr="00E208B5">
        <w:t>").</w:t>
      </w:r>
    </w:p>
    <w:p w:rsidR="00E208B5" w:rsidRPr="00E208B5" w:rsidRDefault="00E208B5" w:rsidP="00E208B5">
      <w:r w:rsidRPr="00E208B5">
        <w:t>Авторы инициативы</w:t>
      </w:r>
      <w:hyperlink r:id="rId6" w:anchor="sdfootnote1sym" w:history="1">
        <w:r w:rsidRPr="00E208B5">
          <w:rPr>
            <w:rStyle w:val="a3"/>
            <w:vertAlign w:val="superscript"/>
          </w:rPr>
          <w:t>1</w:t>
        </w:r>
      </w:hyperlink>
      <w:r w:rsidRPr="00E208B5">
        <w:t> отмечают, что, поскольку розничная продажа алкогольной продукции при оказании услуг общепита должным образом не регламентирована, многие предприниматели открывают питейные заведения – рюмочные, псевдобары, пивные. Большинство из них расположены не в торговых объектах, а в многоквартирных домах. Таким способом бизнесмены обходят установленные в регионе ограничения по времени продажи алкогольной продукции.</w:t>
      </w:r>
    </w:p>
    <w:p w:rsidR="00E208B5" w:rsidRPr="00E208B5" w:rsidRDefault="00E208B5" w:rsidP="00E208B5">
      <w:r w:rsidRPr="00E208B5">
        <w:t>Ожидается, что наделение органов госвласти регионов правом вводить дополнительные ограничения в отношении продажи алкоголя при оказании услуг общественного питания будет способствовать обеспечению общественного порядка и защите прав граждан на тишину, отдых и безопасность в местах их непосредственного проживания. </w:t>
      </w:r>
      <w:r w:rsidRPr="00E208B5">
        <w:br/>
        <w:t>ГАРАНТ.РУ: </w:t>
      </w:r>
      <w:hyperlink r:id="rId7" w:anchor="ixzz5opCHlV2O" w:history="1">
        <w:r w:rsidRPr="00E208B5">
          <w:rPr>
            <w:rStyle w:val="a3"/>
          </w:rPr>
          <w:t>http://www.garant.ru/news/1272964/#ixzz5opCHlV2O</w:t>
        </w:r>
      </w:hyperlink>
    </w:p>
    <w:p w:rsidR="00E208B5" w:rsidRPr="00E208B5" w:rsidRDefault="00E208B5" w:rsidP="00E208B5"/>
    <w:p w:rsidR="00E208B5" w:rsidRPr="00E208B5" w:rsidRDefault="00E208B5" w:rsidP="00E208B5">
      <w:pPr>
        <w:rPr>
          <w:b/>
          <w:bCs/>
        </w:rPr>
      </w:pPr>
      <w:r w:rsidRPr="00E208B5">
        <w:rPr>
          <w:b/>
          <w:bCs/>
        </w:rPr>
        <w:t>В России появится сервис "Поступление в вуз онлайн"</w:t>
      </w:r>
    </w:p>
    <w:p w:rsidR="00E208B5" w:rsidRPr="00E208B5" w:rsidRDefault="00E208B5" w:rsidP="00E208B5">
      <w:r w:rsidRPr="00E208B5">
        <w:t xml:space="preserve">20 мая 2019 </w:t>
      </w:r>
    </w:p>
    <w:p w:rsidR="00E208B5" w:rsidRPr="00E208B5" w:rsidRDefault="00E208B5" w:rsidP="00E208B5">
      <w:r w:rsidRPr="00E208B5">
        <w:t>По сообщению на официальном сайте Минобрнауки России, ведомство уже работает над его созданием. В конце прошлой недели проведено третье заседание рабочей группы по выработке целевого состояния сервиса.</w:t>
      </w:r>
    </w:p>
    <w:p w:rsidR="00E208B5" w:rsidRPr="00E208B5" w:rsidRDefault="00E208B5" w:rsidP="00E208B5">
      <w:r w:rsidRPr="00E208B5">
        <w:t>Речь идет о возможности подачи документов в вуз онлайн через Единый портал госуслуг. Предполагается, что с помощью сервиса "Поступление в вуз онлайн" можно будет формировать пакеты документов в цифровом профиле абитуриентов для последующей их подачи в российские вузы через портал. Ожидается, что время подачи заявлений для поступления в вузы при этом не превысит 20 минут.</w:t>
      </w:r>
    </w:p>
    <w:p w:rsidR="00E208B5" w:rsidRPr="00E208B5" w:rsidRDefault="00E208B5" w:rsidP="00E208B5">
      <w:r w:rsidRPr="00E208B5">
        <w:t>На заседании обсуждался алгоритм построения новой госуслуги, включая дополнительные сервисы и функциональные компоненты, сопровождающие абитуриента. Кроме того, обговаривалась возможность выбора вуза посредством функционала портала "Поступай правильно", мониторинга трудоустройства, прохождения вступительных испытаний и подачи апелляций. Также был представлен визуальный макет прототипа сервиса.</w:t>
      </w:r>
    </w:p>
    <w:p w:rsidR="00E208B5" w:rsidRPr="00E208B5" w:rsidRDefault="00E208B5" w:rsidP="00E208B5">
      <w:r w:rsidRPr="00E208B5">
        <w:t xml:space="preserve">Подготовленные Минобрнауки России материалы будут направлены для обсуждения в Президиум Правительственной комиссии по цифровому развитию, использованию </w:t>
      </w:r>
      <w:r w:rsidRPr="00E208B5">
        <w:lastRenderedPageBreak/>
        <w:t>информационных технологий для улучшения качества жизни и условий ведения предпринимательской деятельности, где продолжится их рассмотрение и обсуждение.</w:t>
      </w:r>
      <w:r w:rsidRPr="00E208B5">
        <w:br/>
        <w:t>ГАРАНТ.РУ: </w:t>
      </w:r>
      <w:hyperlink r:id="rId8" w:anchor="ixzz5opCWouvl" w:history="1">
        <w:r w:rsidRPr="00E208B5">
          <w:rPr>
            <w:rStyle w:val="a3"/>
          </w:rPr>
          <w:t>http://www.garant.ru/news/1272965/#ixzz5opCWouvl</w:t>
        </w:r>
      </w:hyperlink>
    </w:p>
    <w:p w:rsidR="00E208B5" w:rsidRPr="00E208B5" w:rsidRDefault="00E208B5" w:rsidP="00E208B5"/>
    <w:p w:rsidR="00E208B5" w:rsidRPr="00E208B5" w:rsidRDefault="00E208B5" w:rsidP="00E208B5">
      <w:pPr>
        <w:rPr>
          <w:b/>
          <w:bCs/>
        </w:rPr>
      </w:pPr>
      <w:r w:rsidRPr="00E208B5">
        <w:rPr>
          <w:b/>
          <w:bCs/>
        </w:rPr>
        <w:t>Начался эксперимент по маркировке фототехники средствами идентификации</w:t>
      </w:r>
    </w:p>
    <w:p w:rsidR="00E208B5" w:rsidRPr="00E208B5" w:rsidRDefault="00E208B5" w:rsidP="00E208B5">
      <w:r w:rsidRPr="00E208B5">
        <w:t>20 мая 2019</w:t>
      </w:r>
    </w:p>
    <w:p w:rsidR="00E208B5" w:rsidRPr="00E208B5" w:rsidRDefault="00E208B5" w:rsidP="00E208B5">
      <w:r w:rsidRPr="00E208B5">
        <w:t>С 15 мая 2019 года в России стартовал эксперимент по маркировке средствами идентификации фотокамер (кроме кинокамер), фотовспышек и ламп-вспышек (</w:t>
      </w:r>
      <w:hyperlink r:id="rId9" w:anchor="/document/72242332/entry/0" w:history="1">
        <w:r w:rsidRPr="00E208B5">
          <w:rPr>
            <w:rStyle w:val="a3"/>
          </w:rPr>
          <w:t>Постановление Правительства РФ от 14 мая 2019 г. N 589</w:t>
        </w:r>
      </w:hyperlink>
      <w:r w:rsidRPr="00E208B5">
        <w:t>). Он продлится по 30 ноября 2019 года.</w:t>
      </w:r>
    </w:p>
    <w:p w:rsidR="00E208B5" w:rsidRPr="00E208B5" w:rsidRDefault="00E208B5" w:rsidP="00E208B5">
      <w:r w:rsidRPr="00E208B5">
        <w:t>Утверждено и положение по проведению эксперимента. Участники оборота фотокамер (кроме кинокамер), фотовспышек и ламп-вспышек участвуют в эксперименте на добровольной основе - достаточно подать заявку по форме, которую разработает Минпромторг. </w:t>
      </w:r>
      <w:r w:rsidRPr="00E208B5">
        <w:br/>
        <w:t>ГАРАНТ.РУ: </w:t>
      </w:r>
      <w:hyperlink r:id="rId10" w:anchor="ixzz5opCnbIhV" w:history="1">
        <w:r w:rsidRPr="00E208B5">
          <w:rPr>
            <w:rStyle w:val="a3"/>
          </w:rPr>
          <w:t>http://www.garant.ru/news/1273002/#ixzz5opCnbIhV</w:t>
        </w:r>
      </w:hyperlink>
    </w:p>
    <w:p w:rsidR="00E208B5" w:rsidRPr="00E208B5" w:rsidRDefault="00E208B5" w:rsidP="00E208B5">
      <w:pPr>
        <w:rPr>
          <w:b/>
          <w:bCs/>
        </w:rPr>
      </w:pPr>
    </w:p>
    <w:p w:rsidR="00E208B5" w:rsidRPr="00E208B5" w:rsidRDefault="00E208B5" w:rsidP="00E208B5">
      <w:pPr>
        <w:rPr>
          <w:b/>
          <w:bCs/>
        </w:rPr>
      </w:pPr>
      <w:r w:rsidRPr="00E208B5">
        <w:rPr>
          <w:b/>
          <w:bCs/>
        </w:rPr>
        <w:t>До 1 млн руб. увеличена сумма закупки лекарств для конкретного пациента у единственного поставщика по Закону № 44-ФЗ</w:t>
      </w:r>
    </w:p>
    <w:p w:rsidR="00E208B5" w:rsidRPr="00E208B5" w:rsidRDefault="00E208B5" w:rsidP="00E208B5">
      <w:r w:rsidRPr="00E208B5">
        <w:t>20 мая 2019</w:t>
      </w:r>
    </w:p>
    <w:p w:rsidR="00E208B5" w:rsidRPr="00E208B5" w:rsidRDefault="00E208B5" w:rsidP="00E208B5">
      <w:r w:rsidRPr="00E208B5">
        <w:t>Соответствующие изменения внесены в </w:t>
      </w:r>
      <w:hyperlink r:id="rId11" w:anchor="block_93128" w:history="1">
        <w:r w:rsidRPr="00E208B5">
          <w:rPr>
            <w:rStyle w:val="a3"/>
          </w:rPr>
          <w:t>п. 28 ч. 1 ст. 93</w:t>
        </w:r>
      </w:hyperlink>
      <w:r w:rsidRPr="00E208B5">
        <w:t> Закона N 44-ФЗ и вступят в силу 1 июля 2019 года. </w:t>
      </w:r>
      <w:hyperlink r:id="rId12" w:anchor="/document/72235286/entry/0" w:history="1">
        <w:r w:rsidRPr="00E208B5">
          <w:rPr>
            <w:rStyle w:val="a3"/>
          </w:rPr>
          <w:t>Федеральный закон от 01.05.2019 N 71-ФЗ</w:t>
        </w:r>
      </w:hyperlink>
    </w:p>
    <w:p w:rsidR="00E208B5" w:rsidRPr="00E208B5" w:rsidRDefault="00E208B5" w:rsidP="00E208B5">
      <w:r w:rsidRPr="00E208B5">
        <w:t>Сейчас на основании этой нормы заказчик вправе закупить у единственного поставщика лекарственные препараты, предназначенные для назначения пациенту по письменному решению врачебной комиссии, на сумму, не превышающую 200 тыс. рублей.</w:t>
      </w:r>
    </w:p>
    <w:p w:rsidR="00E208B5" w:rsidRPr="00E208B5" w:rsidRDefault="00E208B5" w:rsidP="00E208B5">
      <w:r w:rsidRPr="00E208B5">
        <w:t>Напомним, что объем лекарственных препаратов, закупаемых по </w:t>
      </w:r>
      <w:hyperlink r:id="rId13" w:anchor="block_93128" w:history="1">
        <w:r w:rsidRPr="00E208B5">
          <w:rPr>
            <w:rStyle w:val="a3"/>
          </w:rPr>
          <w:t>п. 28 ч. 1 ст. 93</w:t>
        </w:r>
      </w:hyperlink>
      <w:r w:rsidRPr="00E208B5">
        <w:t> Закона N 44-ФЗ, не должен превышать объем таких препаратов, необходимый для пациента в течение срока, который требуется для их закупки путем запроса предложений в электронной форме.</w:t>
      </w:r>
      <w:r w:rsidRPr="00E208B5">
        <w:br/>
        <w:t>ГАРАНТ.РУ: </w:t>
      </w:r>
      <w:hyperlink r:id="rId14" w:anchor="ixzz5oozigIlM" w:history="1">
        <w:r w:rsidRPr="00E208B5">
          <w:rPr>
            <w:rStyle w:val="a3"/>
          </w:rPr>
          <w:t>http://www.garant.ru/news/1273076/#ixzz5oozigIlM</w:t>
        </w:r>
      </w:hyperlink>
    </w:p>
    <w:p w:rsidR="00E208B5" w:rsidRPr="00E208B5" w:rsidRDefault="00E208B5" w:rsidP="00E208B5"/>
    <w:p w:rsidR="00E208B5" w:rsidRPr="00E208B5" w:rsidRDefault="00E208B5" w:rsidP="00E208B5">
      <w:pPr>
        <w:rPr>
          <w:b/>
          <w:bCs/>
        </w:rPr>
      </w:pPr>
      <w:r w:rsidRPr="00E208B5">
        <w:rPr>
          <w:b/>
          <w:bCs/>
        </w:rPr>
        <w:t>В России будут созданы центры геномных исследований мирового уровня</w:t>
      </w:r>
    </w:p>
    <w:p w:rsidR="00E208B5" w:rsidRPr="00E208B5" w:rsidRDefault="00E208B5" w:rsidP="00E208B5">
      <w:r w:rsidRPr="00E208B5">
        <w:t>20 мая 2019</w:t>
      </w:r>
    </w:p>
    <w:p w:rsidR="00E208B5" w:rsidRPr="00E208B5" w:rsidRDefault="00E208B5" w:rsidP="00E208B5">
      <w:r w:rsidRPr="00E208B5">
        <w:t>В 2019-2020 гг. государство выделит из бюджета гранты на создание и развитие 3-х центров геномных исследований мирового уровня (</w:t>
      </w:r>
      <w:hyperlink r:id="rId15" w:anchor="/document/72237240/entry/0" w:history="1">
        <w:r w:rsidRPr="00E208B5">
          <w:rPr>
            <w:rStyle w:val="a3"/>
          </w:rPr>
          <w:t>Постановление Правительства РФ от 30 апреля 2019 г. N 538</w:t>
        </w:r>
      </w:hyperlink>
      <w:r w:rsidRPr="00E208B5">
        <w:t>). Центры создаются в целях "осуществления прорывных геномных исследований и разработок генетических технологий, включая технологии генетического редактирования".</w:t>
      </w:r>
    </w:p>
    <w:p w:rsidR="00E208B5" w:rsidRPr="00E208B5" w:rsidRDefault="00E208B5" w:rsidP="00E208B5">
      <w:r w:rsidRPr="00E208B5">
        <w:t>Отбор организаций, на базе которых будут созданы центры геномных исследований, проведет Совет по реализации Федеральной научно-технической программы развития генетических технологий. Совет образован </w:t>
      </w:r>
      <w:hyperlink r:id="rId16" w:history="1">
        <w:r w:rsidRPr="00E208B5">
          <w:rPr>
            <w:rStyle w:val="a3"/>
          </w:rPr>
          <w:t>указом</w:t>
        </w:r>
      </w:hyperlink>
      <w:r w:rsidRPr="00E208B5">
        <w:t> Президента РФ от 28 ноября 2018 года N 680 "О развитии генетических технологий в Российский Федерации". Перечень организаций, на базе которых будут созданы геномные Центры, будут утверждены Правительством РФ. </w:t>
      </w:r>
      <w:r w:rsidRPr="00E208B5">
        <w:br/>
        <w:t>ГАРАНТ.РУ: </w:t>
      </w:r>
      <w:hyperlink r:id="rId17" w:anchor="ixzz5opCw2xdf" w:history="1">
        <w:r w:rsidRPr="00E208B5">
          <w:rPr>
            <w:rStyle w:val="a3"/>
          </w:rPr>
          <w:t>http://www.garant.ru/news/1273084/#ixzz5opCw2xdf</w:t>
        </w:r>
      </w:hyperlink>
    </w:p>
    <w:p w:rsidR="00E208B5" w:rsidRPr="00E208B5" w:rsidRDefault="00E208B5" w:rsidP="00E208B5"/>
    <w:p w:rsidR="00E208B5" w:rsidRPr="00E208B5" w:rsidRDefault="00E208B5" w:rsidP="00E208B5">
      <w:pPr>
        <w:rPr>
          <w:b/>
          <w:bCs/>
        </w:rPr>
      </w:pPr>
      <w:r w:rsidRPr="00E208B5">
        <w:rPr>
          <w:b/>
          <w:bCs/>
        </w:rPr>
        <w:lastRenderedPageBreak/>
        <w:t>Для резидентов моногородов предлагается применять пониженные тарифы страховых взносов</w:t>
      </w:r>
    </w:p>
    <w:p w:rsidR="00E208B5" w:rsidRPr="00E208B5" w:rsidRDefault="00E208B5" w:rsidP="00E208B5">
      <w:r w:rsidRPr="00E208B5">
        <w:t>21 мая 2019</w:t>
      </w:r>
    </w:p>
    <w:p w:rsidR="00E208B5" w:rsidRPr="00E208B5" w:rsidRDefault="00E208B5" w:rsidP="00E208B5">
      <w:r w:rsidRPr="00E208B5">
        <w:t>Законодательное собрание Ростовской области внесло в Госдуму законопроект, предполагающий изменения в </w:t>
      </w:r>
      <w:hyperlink r:id="rId18" w:history="1">
        <w:r w:rsidRPr="00E208B5">
          <w:rPr>
            <w:rStyle w:val="a3"/>
          </w:rPr>
          <w:t>Налоговый кодекс</w:t>
        </w:r>
      </w:hyperlink>
      <w:r w:rsidRPr="00E208B5">
        <w:t>. Речь идет о возможности применения пониженных тарифов страховых взносов для резидентов моногородов. получивших такой статус не позднее чем в течение десяти лет со дня создания соответствующей территории опережающего социально-экономического развития.</w:t>
      </w:r>
    </w:p>
    <w:p w:rsidR="00E208B5" w:rsidRPr="00E208B5" w:rsidRDefault="00E208B5" w:rsidP="00E208B5">
      <w:r w:rsidRPr="00E208B5">
        <w:t>Пониженные тарифы предлагается</w:t>
      </w:r>
      <w:hyperlink r:id="rId19" w:anchor="sdfootnote1sym" w:history="1">
        <w:r w:rsidRPr="00E208B5">
          <w:rPr>
            <w:rStyle w:val="a3"/>
            <w:vertAlign w:val="superscript"/>
          </w:rPr>
          <w:t>1</w:t>
        </w:r>
      </w:hyperlink>
      <w:r w:rsidRPr="00E208B5">
        <w:t> применять в следующих размерах:</w:t>
      </w:r>
    </w:p>
    <w:p w:rsidR="00E208B5" w:rsidRPr="00E208B5" w:rsidRDefault="00E208B5" w:rsidP="00E208B5">
      <w:pPr>
        <w:numPr>
          <w:ilvl w:val="0"/>
          <w:numId w:val="1"/>
        </w:numPr>
      </w:pPr>
      <w:r w:rsidRPr="00E208B5">
        <w:t>6% на обязательное пенсионное страхование;</w:t>
      </w:r>
    </w:p>
    <w:p w:rsidR="00E208B5" w:rsidRPr="00E208B5" w:rsidRDefault="00E208B5" w:rsidP="00E208B5">
      <w:pPr>
        <w:numPr>
          <w:ilvl w:val="0"/>
          <w:numId w:val="1"/>
        </w:numPr>
      </w:pPr>
      <w:r w:rsidRPr="00E208B5">
        <w:t>1,5% на обязательное социальное страхование на случай временной нетрудоспособности и в связи с материнством;</w:t>
      </w:r>
    </w:p>
    <w:p w:rsidR="00E208B5" w:rsidRPr="00E208B5" w:rsidRDefault="00E208B5" w:rsidP="00E208B5">
      <w:pPr>
        <w:numPr>
          <w:ilvl w:val="0"/>
          <w:numId w:val="1"/>
        </w:numPr>
      </w:pPr>
      <w:r w:rsidRPr="00E208B5">
        <w:t>0,1% на обязательное медицинское страхование.</w:t>
      </w:r>
    </w:p>
    <w:p w:rsidR="00E208B5" w:rsidRPr="00E208B5" w:rsidRDefault="00E208B5" w:rsidP="00E208B5">
      <w:r w:rsidRPr="00E208B5">
        <w:t>Напомним, что в настоящее время такими тарифами, установленными </w:t>
      </w:r>
      <w:hyperlink r:id="rId20" w:anchor="block_4272" w:history="1">
        <w:r w:rsidRPr="00E208B5">
          <w:rPr>
            <w:rStyle w:val="a3"/>
          </w:rPr>
          <w:t>подп. 5 п. 2 ст. 427 НК РФ </w:t>
        </w:r>
      </w:hyperlink>
      <w:r w:rsidRPr="00E208B5">
        <w:t>могут воспользоваться организации и ИП, получившие статус участника свободной экономической зоны, а также резиденты территории опережающего социально-экономического развития (полный перечень организаций приведен в </w:t>
      </w:r>
      <w:hyperlink r:id="rId21" w:anchor="block_4271" w:history="1">
        <w:r w:rsidRPr="00E208B5">
          <w:rPr>
            <w:rStyle w:val="a3"/>
          </w:rPr>
          <w:t>подп. 11-14 п. 1 ст. 427 НК РФ</w:t>
        </w:r>
      </w:hyperlink>
      <w:r w:rsidRPr="00E208B5">
        <w:t>).</w:t>
      </w:r>
    </w:p>
    <w:p w:rsidR="00E208B5" w:rsidRPr="00E208B5" w:rsidRDefault="00E208B5" w:rsidP="00E208B5">
      <w:r w:rsidRPr="00E208B5">
        <w:t>Изначально перечень моногородов был утвержден </w:t>
      </w:r>
      <w:hyperlink r:id="rId22" w:history="1">
        <w:r w:rsidRPr="00E208B5">
          <w:rPr>
            <w:rStyle w:val="a3"/>
          </w:rPr>
          <w:t>распоряжением Правительства РФ 29 июля 2014 г. № 1398-р</w:t>
        </w:r>
      </w:hyperlink>
      <w:r w:rsidRPr="00E208B5">
        <w:t> и содержал всего 100 городов, однако весной этого года в него были внесены изменения и в настоящее время в списке уже насчитывается 319 населенных пунктов (</w:t>
      </w:r>
      <w:hyperlink r:id="rId23" w:history="1">
        <w:r w:rsidRPr="00E208B5">
          <w:rPr>
            <w:rStyle w:val="a3"/>
          </w:rPr>
          <w:t>распоряжение Правительства РФ от 18 марта 2019 г. № 453-р</w:t>
        </w:r>
      </w:hyperlink>
      <w:r w:rsidRPr="00E208B5">
        <w:t>).</w:t>
      </w:r>
    </w:p>
    <w:p w:rsidR="00E208B5" w:rsidRPr="00E208B5" w:rsidRDefault="00E208B5" w:rsidP="00E208B5">
      <w:r w:rsidRPr="00E208B5">
        <w:t>Расчет и общее число мер поддержки моногородов. Так, если изначально Минэкономразвития России утвердило лишь 95 мер, таких, как страхование кредитов, гарантийная поддержка, субсидии из федерального бюджета и прочее (</w:t>
      </w:r>
      <w:hyperlink r:id="rId24" w:history="1">
        <w:r w:rsidRPr="00E208B5">
          <w:rPr>
            <w:rStyle w:val="a3"/>
          </w:rPr>
          <w:t>Единый перечень мер поддержки монопрофильных муниципальных образований Российской Федерации (моногородов) утвержден Минэкономразвития России от 15 апреля 2016 г.</w:t>
        </w:r>
      </w:hyperlink>
      <w:r w:rsidRPr="00E208B5">
        <w:t>), то в настоящее время их уже 114. С полным перечнем мер можно ознакомиться на сайте Моногорода.РФ (моногорода.рф/documents/reestr.php). </w:t>
      </w:r>
      <w:r w:rsidRPr="00E208B5">
        <w:br/>
        <w:t>ГАРАНТ.РУ: </w:t>
      </w:r>
      <w:hyperlink r:id="rId25" w:anchor="ixzz5opDKLdmy" w:history="1">
        <w:r w:rsidRPr="00E208B5">
          <w:rPr>
            <w:rStyle w:val="a3"/>
          </w:rPr>
          <w:t>http://www.garant.ru/news/1273116/#ixzz5opDKLdmy</w:t>
        </w:r>
      </w:hyperlink>
    </w:p>
    <w:p w:rsidR="00E208B5" w:rsidRPr="00E208B5" w:rsidRDefault="00E208B5" w:rsidP="00E208B5"/>
    <w:p w:rsidR="00E208B5" w:rsidRPr="00E208B5" w:rsidRDefault="00E208B5" w:rsidP="00E208B5">
      <w:pPr>
        <w:rPr>
          <w:b/>
          <w:bCs/>
        </w:rPr>
      </w:pPr>
      <w:r w:rsidRPr="00E208B5">
        <w:rPr>
          <w:b/>
          <w:bCs/>
        </w:rPr>
        <w:t>Госдума приняла закон о создании в Москве цифровых участков для голосования</w:t>
      </w:r>
    </w:p>
    <w:p w:rsidR="00E208B5" w:rsidRPr="00E208B5" w:rsidRDefault="00E208B5" w:rsidP="00E208B5">
      <w:r w:rsidRPr="00E208B5">
        <w:t>21 мая 2019</w:t>
      </w:r>
    </w:p>
    <w:p w:rsidR="00E208B5" w:rsidRPr="00E208B5" w:rsidRDefault="00E208B5" w:rsidP="00E208B5">
      <w:r w:rsidRPr="00E208B5">
        <w:t>Он вошел в пакет законопроектов, направленных на дальнейшее развитие технологии "Мобильный избиратель". Депутаты нижней палаты парламента сегодня приняли соответствующие законы в третьем чтении.</w:t>
      </w:r>
    </w:p>
    <w:p w:rsidR="00E208B5" w:rsidRPr="00E208B5" w:rsidRDefault="00E208B5" w:rsidP="00E208B5">
      <w:r w:rsidRPr="00E208B5">
        <w:t>Так, первым документом</w:t>
      </w:r>
      <w:hyperlink r:id="rId26" w:anchor="sdfootnote1sym" w:history="1">
        <w:r w:rsidRPr="00E208B5">
          <w:rPr>
            <w:rStyle w:val="a3"/>
            <w:vertAlign w:val="superscript"/>
          </w:rPr>
          <w:t>1</w:t>
        </w:r>
      </w:hyperlink>
      <w:r w:rsidRPr="00E208B5">
        <w:t> предусматривается проведение в столице эксперимента по формированию цифровых участков для голосования в субъектах РФ. Имеются в виду избирательные участки, оснащенные техническими средствами, в т. ч. комплексами для электронного голосования, позволяющими проголосовать гражданам РФ, находящимся в день голосования за пределами избирательного округа. Опробовать новую технологию планируется 8 сентября 2019 года – именно на эту дату намечено проведение дополнительных выборов депутатов Госдумы, а также ряда региональных выборов.</w:t>
      </w:r>
    </w:p>
    <w:p w:rsidR="00E208B5" w:rsidRPr="00E208B5" w:rsidRDefault="00E208B5" w:rsidP="00E208B5">
      <w:r w:rsidRPr="00E208B5">
        <w:lastRenderedPageBreak/>
        <w:t>Второй закон</w:t>
      </w:r>
      <w:hyperlink r:id="rId27" w:anchor="sdfootnote1sym" w:history="1">
        <w:r w:rsidRPr="00E208B5">
          <w:rPr>
            <w:rStyle w:val="a3"/>
            <w:vertAlign w:val="superscript"/>
          </w:rPr>
          <w:t>2</w:t>
        </w:r>
      </w:hyperlink>
      <w:r w:rsidRPr="00E208B5">
        <w:t> нацелен на проведение в качестве эксперимента наряду с традиционным форматом дистанционного электронного голосования на выборах депутатов Мосгордумы седьмого созыва в одном или нескольких одномандатных избирательных округах столицы. Для реализации такой возможности планируется использовать специальное программное обеспечение регионального портала государственных и муниципальных услуг г. Москвы. Предполагается, что принять участие в голосовании через Интернет смогут избиратели, которые подадут соответствующее заявление на региональном портале госуслуг.</w:t>
      </w:r>
    </w:p>
    <w:p w:rsidR="00E208B5" w:rsidRPr="00E208B5" w:rsidRDefault="00E208B5" w:rsidP="00E208B5">
      <w:r w:rsidRPr="00E208B5">
        <w:t>Наконец, третий документ</w:t>
      </w:r>
      <w:hyperlink r:id="rId28" w:anchor="sdfootnote1sym" w:history="1">
        <w:r w:rsidRPr="00E208B5">
          <w:rPr>
            <w:rStyle w:val="a3"/>
            <w:vertAlign w:val="superscript"/>
          </w:rPr>
          <w:t>3</w:t>
        </w:r>
      </w:hyperlink>
      <w:r w:rsidRPr="00E208B5">
        <w:t> касается предоставления права проголосовать на региональных выборах гражданам, имеющим временную регистрацию на территории соответствующего избирательного округа, полученную не менее чем за три месяца до дня голосования. Одновременно поправками регламентируется процедура голосования для избирателей, работающих вахтовым методом. Также закреплено право региональных властей своими законами устанавливать срок полномочий участковых комиссий (в пределах от одного года до пяти лет).</w:t>
      </w:r>
      <w:r w:rsidRPr="00E208B5">
        <w:br/>
        <w:t>ГАРАНТ.РУ: </w:t>
      </w:r>
      <w:hyperlink r:id="rId29" w:anchor="ixzz5opEA21go" w:history="1">
        <w:r w:rsidRPr="00E208B5">
          <w:rPr>
            <w:rStyle w:val="a3"/>
          </w:rPr>
          <w:t>http://www.garant.ru/news/1273543/#ixzz5opEA21go</w:t>
        </w:r>
      </w:hyperlink>
    </w:p>
    <w:p w:rsidR="00E208B5" w:rsidRPr="00E208B5" w:rsidRDefault="00E208B5" w:rsidP="00E208B5"/>
    <w:p w:rsidR="00E208B5" w:rsidRPr="00E208B5" w:rsidRDefault="00E208B5" w:rsidP="00E208B5">
      <w:pPr>
        <w:rPr>
          <w:b/>
          <w:bCs/>
        </w:rPr>
      </w:pPr>
      <w:r w:rsidRPr="00E208B5">
        <w:rPr>
          <w:b/>
          <w:bCs/>
        </w:rPr>
        <w:t>Родителям детей, не получивших место в детском саду, предлагается выплачивать компенсацию</w:t>
      </w:r>
    </w:p>
    <w:p w:rsidR="00E208B5" w:rsidRPr="00E208B5" w:rsidRDefault="00E208B5" w:rsidP="00E208B5">
      <w:r w:rsidRPr="00E208B5">
        <w:t>22 мая 2019</w:t>
      </w:r>
    </w:p>
    <w:p w:rsidR="00E208B5" w:rsidRPr="00E208B5" w:rsidRDefault="00E208B5" w:rsidP="00E208B5">
      <w:r w:rsidRPr="00E208B5">
        <w:t>Федеральный закон от 29 декабря 2012 г. № 273-ФЗ "</w:t>
      </w:r>
      <w:hyperlink r:id="rId30" w:history="1">
        <w:r w:rsidRPr="00E208B5">
          <w:rPr>
            <w:rStyle w:val="a3"/>
          </w:rPr>
          <w:t>Об образовании в Российской Федерации</w:t>
        </w:r>
      </w:hyperlink>
      <w:r w:rsidRPr="00E208B5">
        <w:t>" планируется дополнить новой статьей, предусматривающей возможность получения компенсационной выплаты родителями (законными представителями) детей в возрасте от полутора до трех лет, поставленных на учет в дошкольное образовательное учреждение, но не получивших место в нем по причине отсутствия последнего. Соответствующий законопроект внесла в Госдуму депутат </w:t>
      </w:r>
      <w:r w:rsidRPr="00E208B5">
        <w:rPr>
          <w:b/>
          <w:bCs/>
        </w:rPr>
        <w:t>Тамара Плетнева</w:t>
      </w:r>
      <w:r w:rsidRPr="00E208B5">
        <w:t>.</w:t>
      </w:r>
    </w:p>
    <w:p w:rsidR="00E208B5" w:rsidRPr="00E208B5" w:rsidRDefault="00E208B5" w:rsidP="00E208B5">
      <w:r w:rsidRPr="00E208B5">
        <w:t>Предполагается, что такую выплату за счет средств федерального бюджета сможет получить один из родителей (законных представителей) ребенка. При этом сумма компенсации будет определяться в размере прожиточного минимума для детей в целом по России, установленного за II квартал года, предшествующего году обращения за ее назначением.</w:t>
      </w:r>
    </w:p>
    <w:p w:rsidR="00E208B5" w:rsidRPr="00E208B5" w:rsidRDefault="00E208B5" w:rsidP="00E208B5">
      <w:r w:rsidRPr="00E208B5">
        <w:t>Автор инициативы</w:t>
      </w:r>
      <w:hyperlink r:id="rId31" w:anchor="sdfootnote1sym" w:history="1">
        <w:r w:rsidRPr="00E208B5">
          <w:rPr>
            <w:rStyle w:val="a3"/>
            <w:vertAlign w:val="superscript"/>
          </w:rPr>
          <w:t>1</w:t>
        </w:r>
      </w:hyperlink>
      <w:r w:rsidRPr="00E208B5">
        <w:t> приводит данные статистики Минпросвещения России, согласно которым доступность дошкольного образования для малышей в возрасте до трех лет на 1 января 2019 года составляет 83,58%. А численность детей, не обеспеченных местом в детском саду, превышает 214 тыс. человек.</w:t>
      </w:r>
    </w:p>
    <w:p w:rsidR="00E208B5" w:rsidRPr="00E208B5" w:rsidRDefault="00E208B5" w:rsidP="00E208B5">
      <w:r w:rsidRPr="00E208B5">
        <w:t>В случае одобрения поправок они вступят в силу с 1 января 2020 года. Ожидается, что их принятие послужит дополнительной гарантией в сфере дошкольного образования в целях стимулирования рождаемости. Как отмечается в пояснительной записке к законопроекту, его реализация потребует дополнительных расходов из федерального бюджета в сумме не более 1,3 трлн руб.   </w:t>
      </w:r>
    </w:p>
    <w:p w:rsidR="00E208B5" w:rsidRPr="00E208B5" w:rsidRDefault="00E208B5" w:rsidP="00E208B5">
      <w:r w:rsidRPr="00E208B5">
        <w:t>Напомним, ранее Верховный суд Российской Федерации указал на </w:t>
      </w:r>
      <w:hyperlink r:id="rId32" w:history="1">
        <w:r w:rsidRPr="00E208B5">
          <w:rPr>
            <w:rStyle w:val="a3"/>
          </w:rPr>
          <w:t>обязанность муниципалитета найти место в яслях даже при отсутствии свободных мест</w:t>
        </w:r>
      </w:hyperlink>
      <w:r w:rsidRPr="00E208B5">
        <w:t>. Он подчеркнул, что муниципальному образованию необходимо обеспечивать прием в детский сад всех граждан, имеющих право на получение дошкольного образования. Для исполнения этой обязанности орган местного самоуправления должен предвидеть соответствующую потребность в местах в дошкольных образовательных учреждениях, чтобы своевременно принимать меры к увеличению числа (вместимости) существующих детских садов и их финансированию.</w:t>
      </w:r>
      <w:r w:rsidRPr="00E208B5">
        <w:br/>
        <w:t>ГАРАНТ.РУ: </w:t>
      </w:r>
      <w:hyperlink r:id="rId33" w:anchor="ixzz5opEodpJs" w:history="1">
        <w:r w:rsidRPr="00E208B5">
          <w:rPr>
            <w:rStyle w:val="a3"/>
          </w:rPr>
          <w:t>http://www.garant.ru/news/1273571/#ixzz5opEodpJs</w:t>
        </w:r>
      </w:hyperlink>
    </w:p>
    <w:p w:rsidR="00E208B5" w:rsidRPr="00E208B5" w:rsidRDefault="00E208B5" w:rsidP="00E208B5"/>
    <w:p w:rsidR="00E208B5" w:rsidRPr="00E208B5" w:rsidRDefault="00E208B5" w:rsidP="00E208B5">
      <w:pPr>
        <w:rPr>
          <w:b/>
          <w:bCs/>
        </w:rPr>
      </w:pPr>
      <w:r w:rsidRPr="00E208B5">
        <w:rPr>
          <w:b/>
          <w:bCs/>
        </w:rPr>
        <w:t>Представлен проект контрольно-надзорного кодекса</w:t>
      </w:r>
    </w:p>
    <w:p w:rsidR="00E208B5" w:rsidRPr="00E208B5" w:rsidRDefault="00E208B5" w:rsidP="00E208B5">
      <w:r w:rsidRPr="00E208B5">
        <w:t>22 мая 2019</w:t>
      </w:r>
    </w:p>
    <w:p w:rsidR="00E208B5" w:rsidRPr="00E208B5" w:rsidRDefault="00E208B5" w:rsidP="00E208B5">
      <w:r w:rsidRPr="00E208B5">
        <w:t>Минэкономразвития России разработало проект нового закона о государственном и муниципальном контроле и надзоре. По замыслу ведомства закон должен, во-первых, заменить действующий ныне Федеральный закон от 26 декабря 2008 г. № 294-ФЗ "</w:t>
      </w:r>
      <w:hyperlink r:id="rId34" w:history="1">
        <w:r w:rsidRPr="00E208B5">
          <w:rPr>
            <w:rStyle w:val="a3"/>
          </w:rPr>
          <w:t>О защите прав юридических лиц и ИП при осуществлении государственного контроля (надзора) и муниципального контроля</w:t>
        </w:r>
      </w:hyperlink>
      <w:r w:rsidRPr="00E208B5">
        <w:t>" (далее – Закон № 294-ФЗ), а во-вторых, стать основой для создания новой, "с нуля", отрасли законодательства. Проект</w:t>
      </w:r>
      <w:hyperlink r:id="rId35" w:anchor="sdfootnote1sym" w:history="1">
        <w:r w:rsidRPr="00E208B5">
          <w:rPr>
            <w:rStyle w:val="a3"/>
            <w:vertAlign w:val="superscript"/>
          </w:rPr>
          <w:t>1</w:t>
        </w:r>
      </w:hyperlink>
      <w:r w:rsidRPr="00E208B5">
        <w:t> закона настолько тщательно проработан и скомпонован, что наименование "кодекс" подходит ему, кажется, больше.</w:t>
      </w:r>
    </w:p>
    <w:p w:rsidR="00E208B5" w:rsidRPr="00E208B5" w:rsidRDefault="00E208B5" w:rsidP="00E208B5">
      <w:r w:rsidRPr="00E208B5">
        <w:t>Вся система контроля будет – по замыслу Минэкономразвития России – полностью переделана. Проверки – главная "валюта" текущей контрольно-надзорной деятельности – займут крайне скромное место в системе многочисленных мероприятий контроля и надзора, среди которых предложены и совсем экзотические.</w:t>
      </w:r>
    </w:p>
    <w:p w:rsidR="00E208B5" w:rsidRPr="00E208B5" w:rsidRDefault="00E208B5" w:rsidP="00E208B5">
      <w:r w:rsidRPr="00E208B5">
        <w:t>Перечислим некоторые предложенные законопроектом новеллы:</w:t>
      </w:r>
    </w:p>
    <w:p w:rsidR="00E208B5" w:rsidRPr="00E208B5" w:rsidRDefault="00E208B5" w:rsidP="00E208B5">
      <w:pPr>
        <w:numPr>
          <w:ilvl w:val="0"/>
          <w:numId w:val="2"/>
        </w:numPr>
      </w:pPr>
      <w:r w:rsidRPr="00E208B5">
        <w:t>также, как и сейчас, часть видов надзора будет осуществляться в отдельном, своем собственном, порядке, например, банковский, финансовый, акционерный, налоговый, оперативно-разыскные мероприятия и т. п., в том числе – надзор за соблюдением законодательства о рекламе (сейчас этот вид надзора подпадает под действие </w:t>
      </w:r>
      <w:hyperlink r:id="rId36" w:history="1">
        <w:r w:rsidRPr="00E208B5">
          <w:rPr>
            <w:rStyle w:val="a3"/>
          </w:rPr>
          <w:t>Закона № 294-ФЗ</w:t>
        </w:r>
      </w:hyperlink>
      <w:r w:rsidRPr="00E208B5">
        <w:t>). Любопытно, что прокурорский надзор, согласно проекту, должен будет проводится "на общих основаниях", исключения для него не предусмотрено (сейчас – наоборот);</w:t>
      </w:r>
    </w:p>
    <w:p w:rsidR="00E208B5" w:rsidRPr="00E208B5" w:rsidRDefault="00E208B5" w:rsidP="00E208B5">
      <w:pPr>
        <w:numPr>
          <w:ilvl w:val="0"/>
          <w:numId w:val="2"/>
        </w:numPr>
      </w:pPr>
      <w:r w:rsidRPr="00E208B5">
        <w:t>все обязательные требования, которые оформлены актами Правительства РФ, министерств и ведомств, принятыми до 1 января 2021 года, – перестанут быть предметом контроля. Ну и все акты, принятые в СССР и РСФСР, наконец, – тоже;</w:t>
      </w:r>
    </w:p>
    <w:p w:rsidR="00E208B5" w:rsidRPr="00E208B5" w:rsidRDefault="00E208B5" w:rsidP="00E208B5">
      <w:pPr>
        <w:numPr>
          <w:ilvl w:val="0"/>
          <w:numId w:val="2"/>
        </w:numPr>
      </w:pPr>
      <w:r w:rsidRPr="00E208B5">
        <w:t>риск-ориентированная система останется, изменится только ее название и отдельные нюансы;</w:t>
      </w:r>
    </w:p>
    <w:p w:rsidR="00E208B5" w:rsidRPr="00E208B5" w:rsidRDefault="00E208B5" w:rsidP="00E208B5">
      <w:pPr>
        <w:numPr>
          <w:ilvl w:val="0"/>
          <w:numId w:val="2"/>
        </w:numPr>
      </w:pPr>
      <w:r w:rsidRPr="00E208B5">
        <w:t>все должностные лица всех надзорных органов, осуществляющие надзор/контроль, будут именоваться одинаково – инспекторы. Инспекторы "при исполнении" должны быть одеты в форменную одежду;</w:t>
      </w:r>
    </w:p>
    <w:p w:rsidR="00E208B5" w:rsidRPr="00E208B5" w:rsidRDefault="00E208B5" w:rsidP="00E208B5">
      <w:pPr>
        <w:numPr>
          <w:ilvl w:val="0"/>
          <w:numId w:val="2"/>
        </w:numPr>
      </w:pPr>
      <w:r w:rsidRPr="00E208B5">
        <w:t>будут разделять контрольно-надзорные действия и контрольно-надзорные мероприятия. Первые – это такие небольшие акции, направленные на добычу сведений и доказательств, – осмотр, допрос, отбор проб, эксперимент, отбирание письменных объяснений и т. п., и которые сами по себе, "просто так", проводиться не могут. Вторые – это, собственно, самостоятельные надзорные процедуры – проверка, рейд, закупка и т. п. Помимо этого, предусмотрен широкий ассортимент профилактических мероприятий (выдача рекомендаций, профилактический визит, меры поощрения за добросовестность и т. п.);</w:t>
      </w:r>
    </w:p>
    <w:p w:rsidR="00E208B5" w:rsidRPr="00E208B5" w:rsidRDefault="00E208B5" w:rsidP="00E208B5">
      <w:pPr>
        <w:numPr>
          <w:ilvl w:val="0"/>
          <w:numId w:val="2"/>
        </w:numPr>
      </w:pPr>
      <w:r w:rsidRPr="00E208B5">
        <w:t>в числе профилактических, например, предусмотрено профилактическое сопровождение –это когда по отдельному договору между контролируемым лицом и надзорным органом последний предварительно оценивает состояние законности у поднадзорного лица и затем предоставляет рекомендации об оптимальном способе соблюдения обязательных требований. При этом проект закона прямо разрешает субъективное усмотрение руководителя надзорного органа по вопросам профилактического сопровождения;</w:t>
      </w:r>
    </w:p>
    <w:p w:rsidR="00E208B5" w:rsidRPr="00E208B5" w:rsidRDefault="00E208B5" w:rsidP="00E208B5">
      <w:pPr>
        <w:numPr>
          <w:ilvl w:val="0"/>
          <w:numId w:val="2"/>
        </w:numPr>
      </w:pPr>
      <w:r w:rsidRPr="00E208B5">
        <w:lastRenderedPageBreak/>
        <w:t>еще одна новелла – профилактический визит: инспектор приходит, оценивает, дает рекомендации. Наказывать и выдавать предписания по итогам профвизита нельзя. Такой визит точно будет к новичкам – в течение первого года работы вновь открывшихся фирм, а к остальным – по обстоятельствам;</w:t>
      </w:r>
    </w:p>
    <w:p w:rsidR="00E208B5" w:rsidRPr="00E208B5" w:rsidRDefault="00E208B5" w:rsidP="00E208B5">
      <w:pPr>
        <w:numPr>
          <w:ilvl w:val="0"/>
          <w:numId w:val="2"/>
        </w:numPr>
      </w:pPr>
      <w:r w:rsidRPr="00E208B5">
        <w:t>основания для надзорных мероприятий остаются примерно теми же, но вместо применяемой сейчас формулировки, связанной с угрозой или причинением вреда жизни, здоровью и прочим ценностям, предложена такая: "наличие достаточных достоверных данных, свидетельствующих о нарушении обязательных требований". Новая формулировка является очевидно более простой и удобной для всех сторон надзорного взаимодействия, при этом отдельное основание "факт причинения вреда жизни/здоровью" предусмотрен для, собственно, проверки и для выборочного контроля;</w:t>
      </w:r>
    </w:p>
    <w:p w:rsidR="00E208B5" w:rsidRPr="00E208B5" w:rsidRDefault="00E208B5" w:rsidP="00E208B5">
      <w:pPr>
        <w:numPr>
          <w:ilvl w:val="0"/>
          <w:numId w:val="2"/>
        </w:numPr>
      </w:pPr>
      <w:r w:rsidRPr="00E208B5">
        <w:t>перечень надзорных мероприятий значительно расширится. Помимо уже знакомых бизнесу проверки, контрольной закупки и рейда инспекторы начнут проводить выездное обследование (инспектор приходит и сам, без взаимодействия с контролируемым, все осматривает, а если видит нарушения, – фиксирует их на фото- или видеокамеру); мониторинговую закупку (добыча образцов, которые затем отправят в лабораторию на исследование. Требования Закона РФ от 7 февраля 1992 г. № 2300-I "</w:t>
      </w:r>
      <w:hyperlink r:id="rId37" w:history="1">
        <w:r w:rsidRPr="00E208B5">
          <w:rPr>
            <w:rStyle w:val="a3"/>
          </w:rPr>
          <w:t>О защите прав потребителей</w:t>
        </w:r>
      </w:hyperlink>
      <w:r w:rsidRPr="00E208B5">
        <w:t>" не проверяются); выборочный контроль (изъятие образцов товара для исследования) и инспекционный визит (разновидность выездной проверки);</w:t>
      </w:r>
    </w:p>
    <w:p w:rsidR="00E208B5" w:rsidRPr="00E208B5" w:rsidRDefault="00E208B5" w:rsidP="00E208B5">
      <w:pPr>
        <w:numPr>
          <w:ilvl w:val="0"/>
          <w:numId w:val="2"/>
        </w:numPr>
      </w:pPr>
      <w:r w:rsidRPr="00E208B5">
        <w:t>инспекторы вправе опрашивать свидетелей (очевидцев). И хотя опрос – дело добровольное, но их предупреждают об уголовной ответственности за дачу ложных показаний. Представители контролируемого лица свидетелями быть не могут;</w:t>
      </w:r>
    </w:p>
    <w:p w:rsidR="00E208B5" w:rsidRPr="00E208B5" w:rsidRDefault="00E208B5" w:rsidP="00E208B5">
      <w:pPr>
        <w:numPr>
          <w:ilvl w:val="0"/>
          <w:numId w:val="2"/>
        </w:numPr>
      </w:pPr>
      <w:r w:rsidRPr="00E208B5">
        <w:t>инспектора можно отвести от проведения мероприятия по ряду причин. В том числе, если лично он пострадал от деятельности контролируемого лица (съел некачественный продукт, например);</w:t>
      </w:r>
    </w:p>
    <w:p w:rsidR="00E208B5" w:rsidRPr="00E208B5" w:rsidRDefault="00E208B5" w:rsidP="00E208B5">
      <w:pPr>
        <w:numPr>
          <w:ilvl w:val="0"/>
          <w:numId w:val="2"/>
        </w:numPr>
      </w:pPr>
      <w:r w:rsidRPr="00E208B5">
        <w:t>все виды надзора будут занесены в специальный реестр. Если надзора в нем нет –проверять нельзя. Нет административного регламента – проверять нельзя. Нет положения о виде контроля – проверять нельзя;</w:t>
      </w:r>
    </w:p>
    <w:p w:rsidR="00E208B5" w:rsidRPr="00E208B5" w:rsidRDefault="00E208B5" w:rsidP="00E208B5">
      <w:pPr>
        <w:numPr>
          <w:ilvl w:val="0"/>
          <w:numId w:val="2"/>
        </w:numPr>
      </w:pPr>
      <w:r w:rsidRPr="00E208B5">
        <w:t>все сведения о контрольных мероприятиях должны оперативно появляться в едином реестре проверок. Если на момент начала надзорного мероприятия никакой информации о нем в реестре проверок нет – инспектора можно не пускать и отказаться от общения;</w:t>
      </w:r>
    </w:p>
    <w:p w:rsidR="00E208B5" w:rsidRPr="00E208B5" w:rsidRDefault="00E208B5" w:rsidP="00E208B5">
      <w:pPr>
        <w:numPr>
          <w:ilvl w:val="0"/>
          <w:numId w:val="2"/>
        </w:numPr>
      </w:pPr>
      <w:r w:rsidRPr="00E208B5">
        <w:t>у каждого ИП и юрлица будет собственный электронный личный кабинет – вероятно, в рамках портала контрольно-надзорной деятельности. Через кабинет можно будет, в том числе, передавать документы в надзорный орган;</w:t>
      </w:r>
    </w:p>
    <w:p w:rsidR="00E208B5" w:rsidRPr="00E208B5" w:rsidRDefault="00E208B5" w:rsidP="00E208B5">
      <w:pPr>
        <w:numPr>
          <w:ilvl w:val="0"/>
          <w:numId w:val="2"/>
        </w:numPr>
      </w:pPr>
      <w:r w:rsidRPr="00E208B5">
        <w:t>по окончании проверки контролируемое лицо получит не только акт, предписание и протокол об АП (как сейчас), но и рекомендации по соблюдению обязательных требований.</w:t>
      </w:r>
    </w:p>
    <w:p w:rsidR="00E208B5" w:rsidRPr="00E208B5" w:rsidRDefault="00E208B5" w:rsidP="00E208B5">
      <w:r w:rsidRPr="00E208B5">
        <w:t>ГАРАНТ.РУ: </w:t>
      </w:r>
      <w:hyperlink r:id="rId38" w:anchor="ixzz5opF5KCZz" w:history="1">
        <w:r w:rsidRPr="00E208B5">
          <w:rPr>
            <w:rStyle w:val="a3"/>
          </w:rPr>
          <w:t>http://www.garant.ru/news/1273586/#ixzz5opF5KCZz</w:t>
        </w:r>
      </w:hyperlink>
    </w:p>
    <w:p w:rsidR="00E208B5" w:rsidRPr="00E208B5" w:rsidRDefault="00E208B5" w:rsidP="00E208B5"/>
    <w:p w:rsidR="00E208B5" w:rsidRPr="00E208B5" w:rsidRDefault="00E208B5" w:rsidP="00E208B5">
      <w:pPr>
        <w:rPr>
          <w:b/>
          <w:bCs/>
        </w:rPr>
      </w:pPr>
      <w:r w:rsidRPr="00E208B5">
        <w:rPr>
          <w:b/>
          <w:bCs/>
        </w:rPr>
        <w:t>Продлен пилотный проект по сдаче налоговой и бухгалтерской отчетности через сайт ФНС России</w:t>
      </w:r>
    </w:p>
    <w:p w:rsidR="00E208B5" w:rsidRPr="00E208B5" w:rsidRDefault="00E208B5" w:rsidP="00E208B5">
      <w:r w:rsidRPr="00E208B5">
        <w:t>22 мая 2019</w:t>
      </w:r>
    </w:p>
    <w:p w:rsidR="00E208B5" w:rsidRPr="00E208B5" w:rsidRDefault="00E208B5" w:rsidP="00E208B5">
      <w:r w:rsidRPr="00E208B5">
        <w:lastRenderedPageBreak/>
        <w:t>ФНС России в очередной раз продлила возможность предоставления бухгалтерской и налоговой отчетности в электронном виде через официальный сайт службы еще на год (приказ ФНС России от 20 мая 2019 г. № ММВ-7-6/256@</w:t>
      </w:r>
      <w:hyperlink r:id="rId39" w:anchor="sdfootnote1sym" w:history="1">
        <w:r w:rsidRPr="00E208B5">
          <w:rPr>
            <w:rStyle w:val="a3"/>
            <w:vertAlign w:val="superscript"/>
          </w:rPr>
          <w:t>1</w:t>
        </w:r>
      </w:hyperlink>
      <w:r w:rsidRPr="00E208B5">
        <w:t>). Напомним, что срок действия предыдущего приказа истекал 1 июля 2019 года.</w:t>
      </w:r>
    </w:p>
    <w:p w:rsidR="00E208B5" w:rsidRPr="00E208B5" w:rsidRDefault="00E208B5" w:rsidP="00E208B5">
      <w:r w:rsidRPr="00E208B5">
        <w:t>Чтобы предоставить налоговую и бухгалтерскую отчетность на сайте ФНС России, налогоплательщику необходимо иметь действующий ключ электронной подписи и зарегистрироваться в системе сдачи налоговой отчетности "Получение идентификатора абонента", размещенной на сайте ФНС России в разделе "Электронные сервисы" (</w:t>
      </w:r>
      <w:hyperlink r:id="rId40" w:anchor="block_2021" w:history="1">
        <w:r w:rsidRPr="00E208B5">
          <w:rPr>
            <w:rStyle w:val="a3"/>
          </w:rPr>
          <w:t>п. 2.1 приказа ФНС России от 15 июля 2011 г. № ММВ-7-6/443@</w:t>
        </w:r>
      </w:hyperlink>
      <w:r w:rsidRPr="00E208B5">
        <w:t>, далее – Приказ).</w:t>
      </w:r>
    </w:p>
    <w:p w:rsidR="00E208B5" w:rsidRPr="00E208B5" w:rsidRDefault="00E208B5" w:rsidP="00E208B5">
      <w:r w:rsidRPr="00E208B5">
        <w:t>Если же ключа электронной подписи нет, или срок действия его истек, то необходимо обратиться в любой удостоверяющий центр, аккредитованный Минкомсвязи России, чтобы получить этот ключ (</w:t>
      </w:r>
      <w:hyperlink r:id="rId41" w:anchor="block_2022" w:history="1">
        <w:r w:rsidRPr="00E208B5">
          <w:rPr>
            <w:rStyle w:val="a3"/>
          </w:rPr>
          <w:t>п. 2.2 Приказа</w:t>
        </w:r>
      </w:hyperlink>
      <w:r w:rsidRPr="00E208B5">
        <w:t>). Перечень аккредитованных центров можно найти на сайте Минкомсвязи России (digital.gov.ru/ru/activity/govservices/2/).</w:t>
      </w:r>
      <w:r w:rsidRPr="00E208B5">
        <w:br/>
        <w:t>ГАРАНТ.РУ: </w:t>
      </w:r>
      <w:hyperlink r:id="rId42" w:anchor="ixzz5opFLPbIj" w:history="1">
        <w:r w:rsidRPr="00E208B5">
          <w:rPr>
            <w:rStyle w:val="a3"/>
          </w:rPr>
          <w:t>http://www.garant.ru/news/1273587/#ixzz5opFLPbIj</w:t>
        </w:r>
      </w:hyperlink>
    </w:p>
    <w:p w:rsidR="00E208B5" w:rsidRPr="00E208B5" w:rsidRDefault="00E208B5" w:rsidP="00E208B5"/>
    <w:p w:rsidR="00E208B5" w:rsidRPr="00E208B5" w:rsidRDefault="00E208B5" w:rsidP="00E208B5">
      <w:pPr>
        <w:rPr>
          <w:b/>
          <w:bCs/>
        </w:rPr>
      </w:pPr>
      <w:r w:rsidRPr="00E208B5">
        <w:rPr>
          <w:b/>
          <w:bCs/>
        </w:rPr>
        <w:t>Минтруд России работает над расширением круга лиц, которые будут чаще получать выходные для диспансеризации</w:t>
      </w:r>
    </w:p>
    <w:p w:rsidR="00E208B5" w:rsidRPr="00E208B5" w:rsidRDefault="00E208B5" w:rsidP="00E208B5">
      <w:r w:rsidRPr="00E208B5">
        <w:t>22 мая 2019</w:t>
      </w:r>
    </w:p>
    <w:p w:rsidR="00E208B5" w:rsidRPr="00E208B5" w:rsidRDefault="00E208B5" w:rsidP="00E208B5">
      <w:r w:rsidRPr="00E208B5">
        <w:t>Пресс-служба Минтруда России разместила на официальном сайте ведомства сообщение о проработке министерством совместно с другими заинтересованными органами власти поправок в </w:t>
      </w:r>
      <w:hyperlink r:id="rId43" w:history="1">
        <w:r w:rsidRPr="00E208B5">
          <w:rPr>
            <w:rStyle w:val="a3"/>
          </w:rPr>
          <w:t>Трудовом кодексе</w:t>
        </w:r>
      </w:hyperlink>
      <w:r w:rsidRPr="00E208B5">
        <w:t>, предусматривающих право работника в возрасте 40 лет и старше при прохождении диспансеризации на освобождение от работы на один рабочий день один раз в год с сохранением за ним места работы (должности) и среднего заработка (</w:t>
      </w:r>
      <w:hyperlink r:id="rId44" w:history="1">
        <w:r w:rsidRPr="00E208B5">
          <w:rPr>
            <w:rStyle w:val="a3"/>
          </w:rPr>
          <w:t>информация Минтруда России от 16 мая 2019 г.</w:t>
        </w:r>
      </w:hyperlink>
      <w:r w:rsidRPr="00E208B5">
        <w:t>).</w:t>
      </w:r>
    </w:p>
    <w:p w:rsidR="00E208B5" w:rsidRPr="00E208B5" w:rsidRDefault="00E208B5" w:rsidP="00E208B5">
      <w:r w:rsidRPr="00E208B5">
        <w:t>Напомним, что на сегодняшний день согласно </w:t>
      </w:r>
      <w:hyperlink r:id="rId45" w:anchor="block_18510" w:history="1">
        <w:r w:rsidRPr="00E208B5">
          <w:rPr>
            <w:rStyle w:val="a3"/>
          </w:rPr>
          <w:t>ст. 185.1 ТК РФ</w:t>
        </w:r>
      </w:hyperlink>
      <w:r w:rsidRPr="00E208B5">
        <w:t> работники по общему правилу могут рассчитывать при прохождении диспансеризации на освобождение от работы на один рабочий день один раз в три года. Повышенный уровень гарантий полагается лишь трудящимся пенсионерам и работникам предпенсионного возраста (в течение 5 лет до достижения возраста выхода на пенсию): они имеют право на освобождение от работы на два рабочих дня один раз в год.</w:t>
      </w:r>
    </w:p>
    <w:p w:rsidR="00E208B5" w:rsidRPr="00E208B5" w:rsidRDefault="00E208B5" w:rsidP="00E208B5">
      <w:r w:rsidRPr="00E208B5">
        <w:t>Выделить дополнительную категорию работников, которым гарантия будет предоставляться в среднем объеме относительно существующих Минтруду России было поручено председателем Правительства РФ по итогам обсуждения в Государственной Думе отчёта Правительства о результатах работы в 2018 году. Срок исполнения – до 20 июня 2019 года.</w:t>
      </w:r>
    </w:p>
    <w:p w:rsidR="00E208B5" w:rsidRPr="00E208B5" w:rsidRDefault="00E208B5" w:rsidP="00E208B5">
      <w:r w:rsidRPr="00E208B5">
        <w:t>ГАРАНТ.РУ: </w:t>
      </w:r>
      <w:hyperlink r:id="rId46" w:anchor="ixzz5opFcYqpy" w:history="1">
        <w:r w:rsidRPr="00E208B5">
          <w:rPr>
            <w:rStyle w:val="a3"/>
          </w:rPr>
          <w:t>http://www.garant.ru/news/1273598/#ixzz5opFcYqpy</w:t>
        </w:r>
      </w:hyperlink>
    </w:p>
    <w:p w:rsidR="00E208B5" w:rsidRPr="00E208B5" w:rsidRDefault="00E208B5" w:rsidP="00E208B5"/>
    <w:p w:rsidR="00E208B5" w:rsidRPr="00E208B5" w:rsidRDefault="00E208B5" w:rsidP="00E208B5">
      <w:pPr>
        <w:rPr>
          <w:b/>
          <w:bCs/>
        </w:rPr>
      </w:pPr>
      <w:r w:rsidRPr="00E208B5">
        <w:rPr>
          <w:b/>
          <w:bCs/>
        </w:rPr>
        <w:t>ПФР разработал форму уведомления о регистрации в системе индивидуального (персонифицированного) учета</w:t>
      </w:r>
    </w:p>
    <w:p w:rsidR="00E208B5" w:rsidRPr="00E208B5" w:rsidRDefault="00E208B5" w:rsidP="00E208B5">
      <w:r w:rsidRPr="00E208B5">
        <w:t>23 мая 2019</w:t>
      </w:r>
    </w:p>
    <w:p w:rsidR="00E208B5" w:rsidRPr="00E208B5" w:rsidRDefault="00E208B5" w:rsidP="00E208B5">
      <w:r w:rsidRPr="00E208B5">
        <w:t>ПФР разработал форму уведомления о регистрации в системе индивидуального (персонифицированного) учета. Как и обещали в Фонде (</w:t>
      </w:r>
      <w:hyperlink r:id="rId47" w:history="1">
        <w:r w:rsidRPr="00E208B5">
          <w:rPr>
            <w:rStyle w:val="a3"/>
          </w:rPr>
          <w:t>информация ПФР от 4 апреля 2019 г.</w:t>
        </w:r>
      </w:hyperlink>
      <w:r w:rsidRPr="00E208B5">
        <w:t xml:space="preserve">), документ будет содержать те же самые сведения, которые раньше указывались в страховых </w:t>
      </w:r>
      <w:r w:rsidRPr="00E208B5">
        <w:lastRenderedPageBreak/>
        <w:t>свидетельствах: ФИО, дату и место рождения, пол, дату регистрации и непосредственно сам СНИЛС.</w:t>
      </w:r>
    </w:p>
    <w:p w:rsidR="00E208B5" w:rsidRPr="00E208B5" w:rsidRDefault="00E208B5" w:rsidP="00E208B5">
      <w:r w:rsidRPr="00E208B5">
        <w:t>Также ПФР подготовил</w:t>
      </w:r>
      <w:hyperlink r:id="rId48" w:anchor="sdfootnote1sym" w:history="1">
        <w:r w:rsidRPr="00E208B5">
          <w:rPr>
            <w:rStyle w:val="a3"/>
            <w:vertAlign w:val="superscript"/>
          </w:rPr>
          <w:t>1</w:t>
        </w:r>
      </w:hyperlink>
      <w:r w:rsidRPr="00E208B5">
        <w:t> порядок оформления электронного документа, подтверждающего регистрацию в системе персучета. Электронный документ будет содержать те же сведения и подписываться усиленной квалифицированной электронной подписью уполномоченного должностного лица территориального органа ПФР. Документ будет направляться зарегистрированному лицу способом, указанным в обращении, с использованием информационно-телекоммуникационных сетей общего пользования, в том числе сети "Интернет", и / или на адрес электронной почты, указанный в обращении в срок, не превышающий 5 рабочих дней со дня регистрации обращения в территориальном органе ПФР. В случае подачи обращения в электронной форме через Единый портал госуслуг или личный кабинет гражданина на официальном сайте ПФР электронный документ формируется в режиме реального времени.</w:t>
      </w:r>
    </w:p>
    <w:p w:rsidR="00E208B5" w:rsidRPr="00E208B5" w:rsidRDefault="00E208B5" w:rsidP="00E208B5">
      <w:r w:rsidRPr="00E208B5">
        <w:t>Напомним, что с 1 апреля 2019 года органы ПФР больше не выдают застрахованным лицам страховые свидетельства обязательного пенсионного страхования. Соискатели теперь должны при заключении трудового договора предъявлять работодателю документ, подтверждающий регистрацию в системе индивидуального (персонифицированного) учета, в том числе в форме электронного документа.</w:t>
      </w:r>
      <w:r w:rsidRPr="00E208B5">
        <w:br/>
        <w:t>ГАРАНТ.РУ: </w:t>
      </w:r>
      <w:hyperlink r:id="rId49" w:anchor="ixzz5opGtZtRT" w:history="1">
        <w:r w:rsidRPr="00E208B5">
          <w:rPr>
            <w:rStyle w:val="a3"/>
          </w:rPr>
          <w:t>http://www.garant.ru/news/1273712/#ixzz5opGtZtRT</w:t>
        </w:r>
      </w:hyperlink>
    </w:p>
    <w:p w:rsidR="00E208B5" w:rsidRPr="00E208B5" w:rsidRDefault="00E208B5" w:rsidP="00E208B5"/>
    <w:p w:rsidR="00E208B5" w:rsidRPr="00E208B5" w:rsidRDefault="00E208B5" w:rsidP="00E208B5">
      <w:pPr>
        <w:rPr>
          <w:b/>
          <w:bCs/>
        </w:rPr>
      </w:pPr>
      <w:r w:rsidRPr="00E208B5">
        <w:rPr>
          <w:b/>
          <w:bCs/>
        </w:rPr>
        <w:t>Поправки об усилении контроля за техосмотром одобрены в третьем чтении</w:t>
      </w:r>
    </w:p>
    <w:p w:rsidR="00E208B5" w:rsidRPr="00E208B5" w:rsidRDefault="00E208B5" w:rsidP="00E208B5">
      <w:r w:rsidRPr="00E208B5">
        <w:t>23 мая 2019</w:t>
      </w:r>
    </w:p>
    <w:p w:rsidR="00E208B5" w:rsidRPr="00E208B5" w:rsidRDefault="00E208B5" w:rsidP="00E208B5">
      <w:r w:rsidRPr="00E208B5">
        <w:t>Сегодня депутаты нижней палаты парламента приняли соответствующий закон.</w:t>
      </w:r>
    </w:p>
    <w:p w:rsidR="00E208B5" w:rsidRPr="00E208B5" w:rsidRDefault="00E208B5" w:rsidP="00E208B5">
      <w:r w:rsidRPr="00E208B5">
        <w:t>В частности, в целях исключения возможности оформления поддельных диагностических карт документом вводится обязательная фотофиксация автомобиля во время проведения его технического осмотра (ТО). Напомним, изначально планировалось ввести не только </w:t>
      </w:r>
      <w:hyperlink r:id="rId50" w:history="1">
        <w:r w:rsidRPr="00E208B5">
          <w:rPr>
            <w:rStyle w:val="a3"/>
          </w:rPr>
          <w:t>фото-, но и видеофиксацию процесса проведения ТО</w:t>
        </w:r>
      </w:hyperlink>
      <w:r w:rsidRPr="00E208B5">
        <w:t>, но в ходе рассмотрения инициативы в Госдуме от идеи обязательной видеофиксации отказались.</w:t>
      </w:r>
    </w:p>
    <w:p w:rsidR="00E208B5" w:rsidRPr="00E208B5" w:rsidRDefault="00E208B5" w:rsidP="00E208B5">
      <w:r w:rsidRPr="00E208B5">
        <w:t>Кроме того, во избежание подделок диагностических карт предусмотрено их оформление в электронном виде с усиленной квалифицированной подписью. Также законом</w:t>
      </w:r>
      <w:bookmarkStart w:id="0" w:name="sdfootnote1anc"/>
      <w:r w:rsidRPr="00E208B5">
        <w:fldChar w:fldCharType="begin"/>
      </w:r>
      <w:r w:rsidRPr="00E208B5">
        <w:instrText xml:space="preserve"> HYPERLINK "http://www.garant.ru/news/1273813/" \l "sdfootnote1sym" </w:instrText>
      </w:r>
      <w:r w:rsidRPr="00E208B5">
        <w:fldChar w:fldCharType="separate"/>
      </w:r>
      <w:r w:rsidRPr="00E208B5">
        <w:rPr>
          <w:rStyle w:val="a3"/>
          <w:vertAlign w:val="superscript"/>
        </w:rPr>
        <w:t>1</w:t>
      </w:r>
      <w:r w:rsidRPr="00E208B5">
        <w:fldChar w:fldCharType="end"/>
      </w:r>
      <w:bookmarkEnd w:id="0"/>
      <w:r w:rsidRPr="00E208B5">
        <w:t> на операторов ТО возлагается обязанность раз в два года подтверждать свое соответствие требованиям аккредитации.   </w:t>
      </w:r>
      <w:r w:rsidRPr="00E208B5">
        <w:br/>
        <w:t>ГАРАНТ.РУ: </w:t>
      </w:r>
      <w:hyperlink r:id="rId51" w:anchor="ixzz5op3D4A3B" w:history="1">
        <w:r w:rsidRPr="00E208B5">
          <w:rPr>
            <w:rStyle w:val="a3"/>
          </w:rPr>
          <w:t>http://www.garant.ru/news/1273813/#ixzz5op3D4A3B</w:t>
        </w:r>
      </w:hyperlink>
    </w:p>
    <w:p w:rsidR="00E208B5" w:rsidRPr="00E208B5" w:rsidRDefault="00E208B5" w:rsidP="00E208B5"/>
    <w:p w:rsidR="00E208B5" w:rsidRPr="00E208B5" w:rsidRDefault="00E208B5" w:rsidP="00E208B5">
      <w:pPr>
        <w:rPr>
          <w:b/>
          <w:bCs/>
        </w:rPr>
      </w:pPr>
      <w:r w:rsidRPr="00E208B5">
        <w:rPr>
          <w:b/>
          <w:bCs/>
        </w:rPr>
        <w:t>Критерий нуждаемости для получения ежемесячной выплаты из средств материнского капитала могут уточнить</w:t>
      </w:r>
    </w:p>
    <w:p w:rsidR="00E208B5" w:rsidRPr="00E208B5" w:rsidRDefault="00E208B5" w:rsidP="00E208B5">
      <w:r w:rsidRPr="00E208B5">
        <w:t>23 мая 2019</w:t>
      </w:r>
    </w:p>
    <w:p w:rsidR="00E208B5" w:rsidRPr="00E208B5" w:rsidRDefault="00E208B5" w:rsidP="00E208B5">
      <w:r w:rsidRPr="00E208B5">
        <w:t>По сообщению на официальном сайте Минтруда России, Правительство РФ поддержало соответствующий законопроект. Он направлен на увеличение числа семей, имеющих право на получение ежемесячных выплат в связи с рождением (усыновлением) первого или второго ребенка.</w:t>
      </w:r>
    </w:p>
    <w:p w:rsidR="00E208B5" w:rsidRPr="00E208B5" w:rsidRDefault="00E208B5" w:rsidP="00E208B5">
      <w:r w:rsidRPr="00E208B5">
        <w:t xml:space="preserve">Речь идет о выплатах, которые начиная с 1 января 2018 года осуществляются из средств материнского капитала семьям, среднедушевой доход которых не превышает 1,5-кратную величину регионального прожиточного минимума трудоспособного населения за II квартал года, </w:t>
      </w:r>
      <w:r w:rsidRPr="00E208B5">
        <w:lastRenderedPageBreak/>
        <w:t>предшествующего году обращения за ее назначением (ст. 1 Федерального закона от 28 декабря 2017 г. № 418-ФЗ "</w:t>
      </w:r>
      <w:hyperlink r:id="rId52" w:anchor="block_1" w:history="1">
        <w:r w:rsidRPr="00E208B5">
          <w:rPr>
            <w:rStyle w:val="a3"/>
          </w:rPr>
          <w:t>О ежемесячных выплатах семьям, имеющим детей</w:t>
        </w:r>
      </w:hyperlink>
      <w:r w:rsidRPr="00E208B5">
        <w:t>").</w:t>
      </w:r>
    </w:p>
    <w:p w:rsidR="00E208B5" w:rsidRPr="00E208B5" w:rsidRDefault="00E208B5" w:rsidP="00E208B5">
      <w:r w:rsidRPr="00E208B5">
        <w:t>Минтруд России, проанализировав практику назначения ежемесячных выплат, посчитал, что установленный в настоящее время критерий нуждаемости способствует повышению доходов определенного круга получателей, но не оказывает мотивационного эффекта на большинство семей. В связи с этим он предложил увеличить указанный критерий с 1,5-кратной до 2-кратной величины прожиточного минимума трудоспособного населения в субъекте РФ. Кабинет министров поддержал эту идею.</w:t>
      </w:r>
    </w:p>
    <w:p w:rsidR="00E208B5" w:rsidRPr="00E208B5" w:rsidRDefault="00E208B5" w:rsidP="00E208B5">
      <w:r w:rsidRPr="00E208B5">
        <w:t>По мнению разработчиков инициативы, поправка позволит расширить круг потенциальных получателей ежемесячной выплаты. "Поддержка наиболее экономически активных семей со стороны государства окажет влияние на демографическое поведение. Считаем, что предлагаемая мера поможет предотвратить откладывание родителями решения о рождении ребенка на более поздний период", – подчеркнул Министр труда РФ </w:t>
      </w:r>
      <w:r w:rsidRPr="00E208B5">
        <w:rPr>
          <w:b/>
          <w:bCs/>
        </w:rPr>
        <w:t>Максим Топилин</w:t>
      </w:r>
      <w:r w:rsidRPr="00E208B5">
        <w:t>.</w:t>
      </w:r>
    </w:p>
    <w:p w:rsidR="00E208B5" w:rsidRPr="00E208B5" w:rsidRDefault="00E208B5" w:rsidP="00E208B5">
      <w:r w:rsidRPr="00E208B5">
        <w:t>В случае принятия рассматриваемые поправки начнут действовать с 1 января 2020 года.</w:t>
      </w:r>
      <w:r w:rsidRPr="00E208B5">
        <w:br/>
        <w:t>ГАРАНТ.РУ: </w:t>
      </w:r>
      <w:hyperlink r:id="rId53" w:anchor="ixzz5op3awQt2" w:history="1">
        <w:r w:rsidRPr="00E208B5">
          <w:rPr>
            <w:rStyle w:val="a3"/>
          </w:rPr>
          <w:t>http://www.garant.ru/news/1273819/#ixzz5op3awQt2</w:t>
        </w:r>
      </w:hyperlink>
    </w:p>
    <w:p w:rsidR="00E208B5" w:rsidRPr="00E208B5" w:rsidRDefault="00E208B5" w:rsidP="00E208B5"/>
    <w:p w:rsidR="00E208B5" w:rsidRPr="00E208B5" w:rsidRDefault="00E208B5" w:rsidP="00E208B5">
      <w:pPr>
        <w:rPr>
          <w:b/>
          <w:bCs/>
        </w:rPr>
      </w:pPr>
      <w:r w:rsidRPr="00E208B5">
        <w:rPr>
          <w:b/>
          <w:bCs/>
        </w:rPr>
        <w:t>Определен порядок принятия Банком России решения об ограничении осуществления страховщиком по ОСАГО возмещения вреда в натуре</w:t>
      </w:r>
    </w:p>
    <w:p w:rsidR="00E208B5" w:rsidRPr="00E208B5" w:rsidRDefault="00E208B5" w:rsidP="00E208B5">
      <w:r w:rsidRPr="00E208B5">
        <w:t>24 мая 2019</w:t>
      </w:r>
    </w:p>
    <w:p w:rsidR="00E208B5" w:rsidRPr="00E208B5" w:rsidRDefault="00E208B5" w:rsidP="00E208B5">
      <w:r w:rsidRPr="00E208B5">
        <w:t>Федеральным законом от 25 апреля 2002 г. № 40-ФЗ "</w:t>
      </w:r>
      <w:hyperlink r:id="rId54" w:history="1">
        <w:r w:rsidRPr="00E208B5">
          <w:rPr>
            <w:rStyle w:val="a3"/>
          </w:rPr>
          <w:t>Об обязательном страховании гражданской ответственности владельцев транспортных средств</w:t>
        </w:r>
      </w:hyperlink>
      <w:r w:rsidRPr="00E208B5">
        <w:t>" предусмотрено, что в случае выявления неоднократного (два и более раза) в течение одного года нарушения страховщиком по ОСАГО обязательств по восстановительному ремонту поврежденных транспортных средств, в том числе обязанностей по его организации и оплате, Банк России вправе принять решение об ограничении осуществления таким страховщиком возмещения причиненного вреда в натуре на срок до одного года (</w:t>
      </w:r>
      <w:hyperlink r:id="rId55" w:history="1">
        <w:r w:rsidRPr="00E208B5">
          <w:rPr>
            <w:rStyle w:val="a3"/>
          </w:rPr>
          <w:t>Указание Банка России от 14 декабря 2018 г. № 5011-У</w:t>
        </w:r>
      </w:hyperlink>
      <w:r w:rsidRPr="00E208B5">
        <w:t>).</w:t>
      </w:r>
    </w:p>
    <w:p w:rsidR="00E208B5" w:rsidRPr="00E208B5" w:rsidRDefault="00E208B5" w:rsidP="00E208B5">
      <w:r w:rsidRPr="00E208B5">
        <w:t>Определен порядок принятия такого решения.</w:t>
      </w:r>
    </w:p>
    <w:p w:rsidR="00E208B5" w:rsidRPr="00E208B5" w:rsidRDefault="00E208B5" w:rsidP="00E208B5">
      <w:r w:rsidRPr="00E208B5">
        <w:t>Как следует из Указания, для этого уполномоченное структурное подразделение Банка России должно подготовить мотивированное заключение о деятельности страховщика-нарушителя и направить его на рассмотрение в Комитет финансового надзора ЦБ РФ.</w:t>
      </w:r>
    </w:p>
    <w:p w:rsidR="00E208B5" w:rsidRPr="00E208B5" w:rsidRDefault="00E208B5" w:rsidP="00E208B5">
      <w:r w:rsidRPr="00E208B5">
        <w:t>По результатам рассмотрения заключения и приложенных к нему материалов Комитет вправе принять решение об ограничении осуществления страховщиком возмещения причиненного вреда в натуре. Срок действия ограничения будет устанавливаться исходя из количества допущенных страховщиком нарушений.</w:t>
      </w:r>
    </w:p>
    <w:p w:rsidR="00E208B5" w:rsidRPr="00E208B5" w:rsidRDefault="00E208B5" w:rsidP="00E208B5">
      <w:r w:rsidRPr="00E208B5">
        <w:t>Установлено, что решение об ограничении осуществления страховщиком возмещения причиненного вреда в натуре должно быть оформлено приказом Банка России за подписью Председателя Банка России (его заместителя). В нем должны содержаться сведения о страховщике, ссылка на норму закона, на основании которой оно принято, и срок ограничения.</w:t>
      </w:r>
    </w:p>
    <w:p w:rsidR="00E208B5" w:rsidRPr="00E208B5" w:rsidRDefault="00E208B5" w:rsidP="00E208B5">
      <w:r w:rsidRPr="00E208B5">
        <w:t>Такое решение должно быть доведено до сведения страховщика – с использованием личного кабинета страховщика – не позднее одного рабочего дня, следующего за днем издания приказа Банка России.</w:t>
      </w:r>
    </w:p>
    <w:p w:rsidR="00E208B5" w:rsidRPr="00E208B5" w:rsidRDefault="00E208B5" w:rsidP="00E208B5">
      <w:r w:rsidRPr="00E208B5">
        <w:t>Указание вступит в силу 1 июня 2019 года.</w:t>
      </w:r>
      <w:r w:rsidRPr="00E208B5">
        <w:br/>
        <w:t>ГАРАНТ.РУ: </w:t>
      </w:r>
      <w:hyperlink r:id="rId56" w:anchor="ixzz5opHhIyKW" w:history="1">
        <w:r w:rsidRPr="00E208B5">
          <w:rPr>
            <w:rStyle w:val="a3"/>
          </w:rPr>
          <w:t>http://www.garant.ru/news/1273815/#ixzz5opHhIyKW</w:t>
        </w:r>
      </w:hyperlink>
    </w:p>
    <w:p w:rsidR="00E208B5" w:rsidRPr="00E208B5" w:rsidRDefault="00E208B5" w:rsidP="00E208B5"/>
    <w:p w:rsidR="00E208B5" w:rsidRPr="00E208B5" w:rsidRDefault="00E208B5" w:rsidP="00E208B5">
      <w:pPr>
        <w:rPr>
          <w:b/>
          <w:bCs/>
        </w:rPr>
      </w:pPr>
      <w:r w:rsidRPr="00E208B5">
        <w:rPr>
          <w:b/>
          <w:bCs/>
        </w:rPr>
        <w:t>Некоторые предприниматели могут получить отсрочку по применению ККТ</w:t>
      </w:r>
    </w:p>
    <w:p w:rsidR="00E208B5" w:rsidRPr="00E208B5" w:rsidRDefault="00E208B5" w:rsidP="00E208B5">
      <w:r w:rsidRPr="00E208B5">
        <w:t>24 мая 2019</w:t>
      </w:r>
    </w:p>
    <w:p w:rsidR="00E208B5" w:rsidRPr="00E208B5" w:rsidRDefault="00E208B5" w:rsidP="00E208B5">
      <w:r w:rsidRPr="00E208B5">
        <w:t>Госдума приняла в третьем чтении законопроект</w:t>
      </w:r>
      <w:hyperlink r:id="rId57" w:anchor="sdfootnote1sym" w:history="1">
        <w:r w:rsidRPr="00E208B5">
          <w:rPr>
            <w:rStyle w:val="a3"/>
            <w:vertAlign w:val="superscript"/>
          </w:rPr>
          <w:t>1</w:t>
        </w:r>
      </w:hyperlink>
      <w:r w:rsidRPr="00E208B5">
        <w:t>, предусматривающий некоторые существенные изменения в Федеральный закон от 22 мая 2003 г. 54-ФЗ "</w:t>
      </w:r>
      <w:hyperlink r:id="rId58" w:history="1">
        <w:r w:rsidRPr="00E208B5">
          <w:rPr>
            <w:rStyle w:val="a3"/>
          </w:rPr>
          <w:t>О применении контрольно-кассовой техники при осуществлении расчетов в Российской Федерации</w:t>
        </w:r>
      </w:hyperlink>
      <w:r w:rsidRPr="00E208B5">
        <w:t>". О ранних версиях проекта мы уже рассказывали на нашем </w:t>
      </w:r>
      <w:hyperlink r:id="rId59" w:history="1">
        <w:r w:rsidRPr="00E208B5">
          <w:rPr>
            <w:rStyle w:val="a3"/>
          </w:rPr>
          <w:t>сайте</w:t>
        </w:r>
      </w:hyperlink>
      <w:r w:rsidRPr="00E208B5">
        <w:t>.</w:t>
      </w:r>
    </w:p>
    <w:p w:rsidR="00E208B5" w:rsidRPr="00E208B5" w:rsidRDefault="00E208B5" w:rsidP="00E208B5">
      <w:r w:rsidRPr="00E208B5">
        <w:t>Прежде всего, некоторым видам налогоплательщиков разрешено не применять ККТ. О том, кто к ним относится, порталу ГАРАНТ.РУ рассказала </w:t>
      </w:r>
      <w:r w:rsidRPr="00E208B5">
        <w:rPr>
          <w:b/>
          <w:bCs/>
        </w:rPr>
        <w:t>Юлия Русинова</w:t>
      </w:r>
      <w:r w:rsidRPr="00E208B5">
        <w:t>, директор по развитию бизнеса фискальных решений ИТ-компании АТОЛ.</w:t>
      </w:r>
    </w:p>
    <w:p w:rsidR="00E208B5" w:rsidRPr="00E208B5" w:rsidRDefault="00E208B5" w:rsidP="00E208B5">
      <w:r w:rsidRPr="00E208B5">
        <w:t>Отсрочку до 1 июля 2021 года могут получить:</w:t>
      </w:r>
    </w:p>
    <w:p w:rsidR="00E208B5" w:rsidRPr="00E208B5" w:rsidRDefault="00E208B5" w:rsidP="00E208B5">
      <w:pPr>
        <w:numPr>
          <w:ilvl w:val="0"/>
          <w:numId w:val="3"/>
        </w:numPr>
      </w:pPr>
      <w:r w:rsidRPr="00E208B5">
        <w:t>ИП, которые продают товары собственного производства, не имеющие наемных сотрудников (например, продажа собственного рукоделия, выпечка кондитерских изделий, оказание различных услуг, таких, как репетиторство, массаж, стрижка и прочее без найма работников);</w:t>
      </w:r>
    </w:p>
    <w:p w:rsidR="00E208B5" w:rsidRPr="00E208B5" w:rsidRDefault="00E208B5" w:rsidP="00E208B5">
      <w:pPr>
        <w:numPr>
          <w:ilvl w:val="0"/>
          <w:numId w:val="3"/>
        </w:numPr>
      </w:pPr>
      <w:r w:rsidRPr="00E208B5">
        <w:t>ИП, применяющие ЕНВД и патенты, которые выполняют работы или оказывают услуги, также без наемных работников.</w:t>
      </w:r>
    </w:p>
    <w:p w:rsidR="00E208B5" w:rsidRPr="00E208B5" w:rsidRDefault="00E208B5" w:rsidP="00E208B5">
      <w:r w:rsidRPr="00E208B5">
        <w:t>Это нововведение закономерно ввиду проведения пилотного проекта в четырех регионах (г. Москва, Московская область, Калужская область и Республика Татарстан), который позволяет предпринимателям регистрировать себя как самозанятых и платить налог с дохода. Подробнее об этом можно прочитать </w:t>
      </w:r>
      <w:hyperlink r:id="rId60" w:history="1">
        <w:r w:rsidRPr="00E208B5">
          <w:rPr>
            <w:rStyle w:val="a3"/>
          </w:rPr>
          <w:t>здесь</w:t>
        </w:r>
      </w:hyperlink>
      <w:r w:rsidRPr="00E208B5">
        <w:t> и </w:t>
      </w:r>
      <w:hyperlink r:id="rId61" w:history="1">
        <w:r w:rsidRPr="00E208B5">
          <w:rPr>
            <w:rStyle w:val="a3"/>
          </w:rPr>
          <w:t>здесь</w:t>
        </w:r>
      </w:hyperlink>
      <w:r w:rsidRPr="00E208B5">
        <w:t>. Напомним, что проект начал работать с 1 января 2019 года и продлится до конца 2028 года (</w:t>
      </w:r>
      <w:hyperlink r:id="rId62" w:anchor="block_110" w:history="1">
        <w:r w:rsidRPr="00E208B5">
          <w:rPr>
            <w:rStyle w:val="a3"/>
          </w:rPr>
          <w:t>п. 1</w:t>
        </w:r>
      </w:hyperlink>
      <w:r w:rsidRPr="00E208B5">
        <w:t>, </w:t>
      </w:r>
      <w:hyperlink r:id="rId63" w:anchor="block_120" w:history="1">
        <w:r w:rsidRPr="00E208B5">
          <w:rPr>
            <w:rStyle w:val="a3"/>
          </w:rPr>
          <w:t>2 ст. 1 Федерального закона от 27 ноября 2018 г. № 422-ФЗ</w:t>
        </w:r>
      </w:hyperlink>
      <w:r w:rsidRPr="00E208B5">
        <w:t>). Для тех же, кто хотел бы зарегистрироваться в качестве самозанятого, но не имеет такой возможности, ведь пилот еще не пришел в их регион, дают отсрочку до 2021 года. Теперь российские предприниматели находятся в равных условиях, поскольку вероятнее всего, к тому моменту проект по самозанятым выйдет из пилота на федеральный уровень и у предпринимателей будет выбор: регистрироваться как ИП или как самозанятые и в зависимости от этого применять или не применять ККТ.</w:t>
      </w:r>
    </w:p>
    <w:p w:rsidR="00E208B5" w:rsidRPr="00E208B5" w:rsidRDefault="00E208B5" w:rsidP="00E208B5">
      <w:r w:rsidRPr="00E208B5">
        <w:t>Обращаем ваше внимание, что следующим видам налогоплательщиков все же необходимо будет поставить онлайн-кассу до 1 июля 2019 года:</w:t>
      </w:r>
    </w:p>
    <w:p w:rsidR="00E208B5" w:rsidRPr="00E208B5" w:rsidRDefault="00E208B5" w:rsidP="00E208B5">
      <w:pPr>
        <w:numPr>
          <w:ilvl w:val="0"/>
          <w:numId w:val="4"/>
        </w:numPr>
      </w:pPr>
      <w:r w:rsidRPr="00E208B5">
        <w:t>ИП, применяющим ЕНВД и патенты, которые продают товары не собственного производства и у которых нет наемных работников;</w:t>
      </w:r>
    </w:p>
    <w:p w:rsidR="00E208B5" w:rsidRPr="00E208B5" w:rsidRDefault="00E208B5" w:rsidP="00E208B5">
      <w:pPr>
        <w:numPr>
          <w:ilvl w:val="0"/>
          <w:numId w:val="4"/>
        </w:numPr>
      </w:pPr>
      <w:r w:rsidRPr="00E208B5">
        <w:t>ИП, применяющим ЕНВД и патенты, которые оказывают услуги или выполняют работы и у которых есть наемные работники;</w:t>
      </w:r>
    </w:p>
    <w:p w:rsidR="00E208B5" w:rsidRPr="00E208B5" w:rsidRDefault="00E208B5" w:rsidP="00E208B5">
      <w:pPr>
        <w:numPr>
          <w:ilvl w:val="0"/>
          <w:numId w:val="4"/>
        </w:numPr>
      </w:pPr>
      <w:r w:rsidRPr="00E208B5">
        <w:t>организациям и ИП, которые ранее выдавали бланки строгой отчетности (в том числе транспортные организации при продаже билетов водителем или кондуктором в салоне транспортного средства);</w:t>
      </w:r>
    </w:p>
    <w:p w:rsidR="00E208B5" w:rsidRPr="00E208B5" w:rsidRDefault="00E208B5" w:rsidP="00E208B5">
      <w:pPr>
        <w:numPr>
          <w:ilvl w:val="0"/>
          <w:numId w:val="4"/>
        </w:numPr>
      </w:pPr>
      <w:r w:rsidRPr="00E208B5">
        <w:t>организациям или ИП, занимающимся вендингом без наемных работников.</w:t>
      </w:r>
    </w:p>
    <w:p w:rsidR="00E208B5" w:rsidRPr="00E208B5" w:rsidRDefault="00E208B5" w:rsidP="00E208B5">
      <w:r w:rsidRPr="00E208B5">
        <w:t>Юлия Русинова рассказала и еще о ряде дополнений, вводимых законопроектом. Так, удаленную кассу можно будет теперь использовать курьерам, а также налогоплательщикам в случае оказания услуг вне офиса.</w:t>
      </w:r>
      <w:r w:rsidRPr="00E208B5">
        <w:br/>
        <w:t xml:space="preserve">Кроме того, добавлена возможность формировать только один чек без выдачи покупателю на </w:t>
      </w:r>
      <w:r w:rsidRPr="00E208B5">
        <w:lastRenderedPageBreak/>
        <w:t>зачет аванса или его возврата для ЖКХ, охраны и образования.</w:t>
      </w:r>
      <w:r w:rsidRPr="00E208B5">
        <w:br/>
        <w:t>Также можно будет не применять ККТ при сдаче машино-места вместе с квартирой собственником и розничной продаже бахил.</w:t>
      </w:r>
      <w:r w:rsidRPr="00E208B5">
        <w:br/>
        <w:t>Помимо этого определен порядок выдачи чеков пассажирам при покупке билета у водителя или кондуктора в салоне транспорта.</w:t>
      </w:r>
    </w:p>
    <w:p w:rsidR="00E208B5" w:rsidRPr="00E208B5" w:rsidRDefault="00E208B5" w:rsidP="00E208B5">
      <w:r w:rsidRPr="00E208B5">
        <w:t>Напомним, что за неприменение ККТ предусмотрены штрафы за каждый не отправленный в налоговую службу чек. Так, для организации сумма штрафа составляет: от 3/4 до 1 размера суммы расчета без применения ККТ, но не менее 30 тыс. руб. (</w:t>
      </w:r>
      <w:hyperlink r:id="rId64" w:anchor="block_1452" w:history="1">
        <w:r w:rsidRPr="00E208B5">
          <w:rPr>
            <w:rStyle w:val="a3"/>
          </w:rPr>
          <w:t>п. 2 ст. ст. 14.5 Кодекса Российской Федерации об административных правонарушениях</w:t>
        </w:r>
      </w:hyperlink>
      <w:r w:rsidRPr="00E208B5">
        <w:t>). Для должностного лица – от 1/4 до 1/2 размера суммы расчета, но не менее 10 тыс. руб. (</w:t>
      </w:r>
      <w:hyperlink r:id="rId65" w:anchor="block_1452" w:history="1">
        <w:r w:rsidRPr="00E208B5">
          <w:rPr>
            <w:rStyle w:val="a3"/>
          </w:rPr>
          <w:t>п. 2 ст. ст. 14.5 КоАП РФ</w:t>
        </w:r>
      </w:hyperlink>
      <w:r w:rsidRPr="00E208B5">
        <w:t>).</w:t>
      </w:r>
      <w:r w:rsidRPr="00E208B5">
        <w:br/>
        <w:t>При этом, если налоговая служба обнаружит, что ритейлер нарушает правило повторно, а сумма расчетов, которые были осуществлены, превышает 1 млн. руб., то ему придется прекратить свою деятельность на срок до 90 дней., а должностное лицо получит дисквалификацию на срок от одного года до двух лет (</w:t>
      </w:r>
      <w:hyperlink r:id="rId66" w:anchor="block_14503" w:history="1">
        <w:r w:rsidRPr="00E208B5">
          <w:rPr>
            <w:rStyle w:val="a3"/>
          </w:rPr>
          <w:t>п. 3 ст. ст. 14.5 КоАП РФ</w:t>
        </w:r>
      </w:hyperlink>
      <w:r w:rsidRPr="00E208B5">
        <w:t>). </w:t>
      </w:r>
      <w:r w:rsidRPr="00E208B5">
        <w:br/>
        <w:t>ГАРАНТ.РУ: </w:t>
      </w:r>
      <w:hyperlink r:id="rId67" w:anchor="ixzz5opx96xY0" w:history="1">
        <w:r w:rsidRPr="00E208B5">
          <w:rPr>
            <w:rStyle w:val="a3"/>
          </w:rPr>
          <w:t>http://www.garant.ru/news/1273854/#ixzz5opx96xY0</w:t>
        </w:r>
      </w:hyperlink>
    </w:p>
    <w:p w:rsidR="00E208B5" w:rsidRPr="00E208B5" w:rsidRDefault="00E208B5" w:rsidP="00E208B5"/>
    <w:p w:rsidR="00E208B5" w:rsidRPr="00E208B5" w:rsidRDefault="00E208B5" w:rsidP="00E208B5">
      <w:pPr>
        <w:rPr>
          <w:b/>
          <w:bCs/>
        </w:rPr>
      </w:pPr>
      <w:r w:rsidRPr="00E208B5">
        <w:rPr>
          <w:b/>
          <w:bCs/>
        </w:rPr>
        <w:t>Продавцам могут разрешить оформлять единый ценник на ассортиментный товар</w:t>
      </w:r>
    </w:p>
    <w:p w:rsidR="00E208B5" w:rsidRPr="00E208B5" w:rsidRDefault="00E208B5" w:rsidP="00E208B5">
      <w:r w:rsidRPr="00E208B5">
        <w:t>24 мая 2019</w:t>
      </w:r>
    </w:p>
    <w:p w:rsidR="00E208B5" w:rsidRPr="00E208B5" w:rsidRDefault="00E208B5" w:rsidP="00E208B5">
      <w:r w:rsidRPr="00E208B5">
        <w:t>Разработанным Минпромторгом России совместно с Роспотребнадзором проектом постановления предусмотрено исключение обязанности продавца указывать на ценнике сорт (при его наличии), а, следовательно, возможность оформления одного ценника для группы единообразных товаров с незначительными отличиями по вкусу и сорту.</w:t>
      </w:r>
    </w:p>
    <w:p w:rsidR="00E208B5" w:rsidRPr="00E208B5" w:rsidRDefault="00E208B5" w:rsidP="00E208B5">
      <w:r w:rsidRPr="00E208B5">
        <w:t>Не знаете, как вести себя во время проверки Роспотребнадзора? Ознакомьтесь с соответствующей памяткой в "</w:t>
      </w:r>
      <w:r w:rsidRPr="00E208B5">
        <w:rPr>
          <w:b/>
          <w:bCs/>
        </w:rPr>
        <w:t>Энциклопедии решений. Проверки организаций и предпринимателей</w:t>
      </w:r>
      <w:r w:rsidRPr="00E208B5">
        <w:t>" интернет-версии системы ГАРАНТ. Получите бесплатный доступ на 3 дня!</w:t>
      </w:r>
    </w:p>
    <w:p w:rsidR="00E208B5" w:rsidRPr="00E208B5" w:rsidRDefault="00E208B5" w:rsidP="00E208B5">
      <w:hyperlink r:id="rId68" w:tgtFrame="_blank" w:history="1">
        <w:r w:rsidRPr="00E208B5">
          <w:rPr>
            <w:rStyle w:val="a3"/>
          </w:rPr>
          <w:t>Получить доступ</w:t>
        </w:r>
      </w:hyperlink>
    </w:p>
    <w:p w:rsidR="00E208B5" w:rsidRPr="00E208B5" w:rsidRDefault="00E208B5" w:rsidP="00E208B5">
      <w:r w:rsidRPr="00E208B5">
        <w:t>Авторы инициативы отмечают, что действующее требование обязательного оформления ценников на каждый вид товара приводит не только к необоснованным затратам продавца, но и доставляет неудобство покупателям, т. к. большое количество ценников в магазине может их запутать.</w:t>
      </w:r>
    </w:p>
    <w:p w:rsidR="00E208B5" w:rsidRPr="00E208B5" w:rsidRDefault="00E208B5" w:rsidP="00E208B5">
      <w:r w:rsidRPr="00E208B5">
        <w:t>Изменения планируется внести в </w:t>
      </w:r>
      <w:hyperlink r:id="rId69" w:anchor="block_19" w:history="1">
        <w:r w:rsidRPr="00E208B5">
          <w:rPr>
            <w:rStyle w:val="a3"/>
          </w:rPr>
          <w:t>п. 19 Правил продажи отдельных видов товаров</w:t>
        </w:r>
      </w:hyperlink>
      <w:r w:rsidRPr="00E208B5">
        <w:t>, утв. </w:t>
      </w:r>
      <w:hyperlink r:id="rId70" w:history="1">
        <w:r w:rsidRPr="00E208B5">
          <w:rPr>
            <w:rStyle w:val="a3"/>
          </w:rPr>
          <w:t>постановлением Правительства РФ от 19 января 1998 г. № 55</w:t>
        </w:r>
      </w:hyperlink>
      <w:r w:rsidRPr="00E208B5">
        <w:t>, исключив в нем требование единообразия в оформлении ценников и предусмотрев возможность их оформления одним или несколькими способами одновременно. При этом перечень способов оформления ценников (на бумажном носителе, ином визуально доступном для покупателей носителе информации, в т. ч. с электронным отображением информации, с использованием грифельных досок, стендов, световых табло) при этом менять не планируется.</w:t>
      </w:r>
    </w:p>
    <w:p w:rsidR="00E208B5" w:rsidRPr="00E208B5" w:rsidRDefault="00E208B5" w:rsidP="00E208B5">
      <w:r w:rsidRPr="00E208B5">
        <w:t>Таким образом, в случае принятия поправок можно будет использовать электронные ценники для категорий товаров, у которых часто меняются обязательные к отображению на ценниках атрибуты (цена, наименование), а также применять один ценник для однотипной продукции с незначительными отличиями (по вкусу, сорту).</w:t>
      </w:r>
    </w:p>
    <w:p w:rsidR="00E208B5" w:rsidRPr="00E208B5" w:rsidRDefault="00E208B5" w:rsidP="00E208B5">
      <w:r w:rsidRPr="00E208B5">
        <w:t xml:space="preserve">Ожидается, что предлагаемые меры позволят повысить информированность потребителей о товарах, уменьшить затраты бизнесменов и будут способствовать внедрению новых технологий. В частности, по оценке разработчиков, количество бумажных ценников в торговом объекте снизится </w:t>
      </w:r>
      <w:r w:rsidRPr="00E208B5">
        <w:lastRenderedPageBreak/>
        <w:t>на 20 и более процентов, что сократит издержки субъектов предпринимательской деятельности (по данным Росстата – более 750 тыс. объектов) на оформление и ротацию таких ценников в среднем на 2 млрд руб. в месяц. </w:t>
      </w:r>
      <w:r w:rsidRPr="00E208B5">
        <w:br/>
        <w:t>ГАРАНТ.РУ: </w:t>
      </w:r>
      <w:hyperlink r:id="rId71" w:anchor="ixzz5opyHcAHB" w:history="1">
        <w:r w:rsidRPr="00E208B5">
          <w:rPr>
            <w:rStyle w:val="a3"/>
          </w:rPr>
          <w:t>http://www.garant.ru/news/1273857/#ixzz5opyHcAHB</w:t>
        </w:r>
      </w:hyperlink>
    </w:p>
    <w:p w:rsidR="00D91576" w:rsidRDefault="00D91576">
      <w:bookmarkStart w:id="1" w:name="_GoBack"/>
      <w:bookmarkEnd w:id="1"/>
    </w:p>
    <w:sectPr w:rsidR="00D91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F150E"/>
    <w:multiLevelType w:val="multilevel"/>
    <w:tmpl w:val="BAC47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224F6"/>
    <w:multiLevelType w:val="multilevel"/>
    <w:tmpl w:val="3A6A8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513C7"/>
    <w:multiLevelType w:val="multilevel"/>
    <w:tmpl w:val="F9A86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77C35"/>
    <w:multiLevelType w:val="multilevel"/>
    <w:tmpl w:val="7E061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10"/>
    <w:rsid w:val="00D91576"/>
    <w:rsid w:val="00E208B5"/>
    <w:rsid w:val="00E9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4E339-9FEE-4118-85DF-A65B7B17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8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353464/daf75cc17d0d1b8b796480bc59f740b8/" TargetMode="External"/><Relationship Id="rId18" Type="http://schemas.openxmlformats.org/officeDocument/2006/relationships/hyperlink" Target="http://base.garant.ru/10900200/" TargetMode="External"/><Relationship Id="rId26" Type="http://schemas.openxmlformats.org/officeDocument/2006/relationships/hyperlink" Target="http://www.garant.ru/news/1273543/" TargetMode="External"/><Relationship Id="rId39" Type="http://schemas.openxmlformats.org/officeDocument/2006/relationships/hyperlink" Target="http://www.garant.ru/news/1273587/" TargetMode="External"/><Relationship Id="rId21" Type="http://schemas.openxmlformats.org/officeDocument/2006/relationships/hyperlink" Target="http://base.garant.ru/10900200/3c9c72380388b707a88dcf14d96be986/" TargetMode="External"/><Relationship Id="rId34" Type="http://schemas.openxmlformats.org/officeDocument/2006/relationships/hyperlink" Target="http://base.garant.ru/12164247/" TargetMode="External"/><Relationship Id="rId42" Type="http://schemas.openxmlformats.org/officeDocument/2006/relationships/hyperlink" Target="http://www.garant.ru/news/1273587/" TargetMode="External"/><Relationship Id="rId47" Type="http://schemas.openxmlformats.org/officeDocument/2006/relationships/hyperlink" Target="http://base.garant.ru/72213598/" TargetMode="External"/><Relationship Id="rId50" Type="http://schemas.openxmlformats.org/officeDocument/2006/relationships/hyperlink" Target="http://www.garant.ru/news/1213905/" TargetMode="External"/><Relationship Id="rId55" Type="http://schemas.openxmlformats.org/officeDocument/2006/relationships/hyperlink" Target="http://base.garant.ru/72246042/" TargetMode="External"/><Relationship Id="rId63" Type="http://schemas.openxmlformats.org/officeDocument/2006/relationships/hyperlink" Target="http://base.garant.ru/72113648/1cafb24d049dcd1e7707a22d98e9858f/" TargetMode="External"/><Relationship Id="rId68" Type="http://schemas.openxmlformats.org/officeDocument/2006/relationships/hyperlink" Target="http://www.aero.garant.ru/encyclopedia-solutions/?utm_source=garant&amp;utm_medium=tgb&amp;utm_campaign=lead-from-editor&amp;utm_content=news-1273857" TargetMode="External"/><Relationship Id="rId7" Type="http://schemas.openxmlformats.org/officeDocument/2006/relationships/hyperlink" Target="http://www.garant.ru/news/1272964/" TargetMode="External"/><Relationship Id="rId71" Type="http://schemas.openxmlformats.org/officeDocument/2006/relationships/hyperlink" Target="http://www.garant.ru/news/1273857/" TargetMode="External"/><Relationship Id="rId2" Type="http://schemas.openxmlformats.org/officeDocument/2006/relationships/styles" Target="styles.xml"/><Relationship Id="rId16" Type="http://schemas.openxmlformats.org/officeDocument/2006/relationships/hyperlink" Target="http://base.garant.ru/72114372/" TargetMode="External"/><Relationship Id="rId29" Type="http://schemas.openxmlformats.org/officeDocument/2006/relationships/hyperlink" Target="http://www.garant.ru/news/1273543/" TargetMode="External"/><Relationship Id="rId11" Type="http://schemas.openxmlformats.org/officeDocument/2006/relationships/hyperlink" Target="http://base.garant.ru/70353464/daf75cc17d0d1b8b796480bc59f740b8/" TargetMode="External"/><Relationship Id="rId24" Type="http://schemas.openxmlformats.org/officeDocument/2006/relationships/hyperlink" Target="http://base.garant.ru/71999366/" TargetMode="External"/><Relationship Id="rId32" Type="http://schemas.openxmlformats.org/officeDocument/2006/relationships/hyperlink" Target="http://www.garant.ru/news/1264769/" TargetMode="External"/><Relationship Id="rId37" Type="http://schemas.openxmlformats.org/officeDocument/2006/relationships/hyperlink" Target="http://base.garant.ru/10106035/" TargetMode="External"/><Relationship Id="rId40" Type="http://schemas.openxmlformats.org/officeDocument/2006/relationships/hyperlink" Target="http://base.garant.ru/12188217/f7ee959fd36b5699076b35abf4f52c5c/" TargetMode="External"/><Relationship Id="rId45" Type="http://schemas.openxmlformats.org/officeDocument/2006/relationships/hyperlink" Target="http://base.garant.ru/12125268/304b568ed0875b52a564119b6f7ca53e/" TargetMode="External"/><Relationship Id="rId53" Type="http://schemas.openxmlformats.org/officeDocument/2006/relationships/hyperlink" Target="http://www.garant.ru/news/1273819/" TargetMode="External"/><Relationship Id="rId58" Type="http://schemas.openxmlformats.org/officeDocument/2006/relationships/hyperlink" Target="http://base.garant.ru/12130951/" TargetMode="External"/><Relationship Id="rId66" Type="http://schemas.openxmlformats.org/officeDocument/2006/relationships/hyperlink" Target="http://base.garant.ru/12125267/3780a465c57513165f942ba713db0691/" TargetMode="External"/><Relationship Id="rId5" Type="http://schemas.openxmlformats.org/officeDocument/2006/relationships/hyperlink" Target="http://base.garant.ru/10105489/7a58987b486424ad79b62aa427dab1df/" TargetMode="External"/><Relationship Id="rId15" Type="http://schemas.openxmlformats.org/officeDocument/2006/relationships/hyperlink" Target="http://ivo.garant.ru/" TargetMode="External"/><Relationship Id="rId23" Type="http://schemas.openxmlformats.org/officeDocument/2006/relationships/hyperlink" Target="http://www.garant.ru/files/6/1/1273116/rasporyagenie_pravitelstva_rf_ot_18_marta_2019_g__n_453-r_o_vnesenii_izmeneniy_v.rtf" TargetMode="External"/><Relationship Id="rId28" Type="http://schemas.openxmlformats.org/officeDocument/2006/relationships/hyperlink" Target="http://www.garant.ru/news/1273543/" TargetMode="External"/><Relationship Id="rId36" Type="http://schemas.openxmlformats.org/officeDocument/2006/relationships/hyperlink" Target="http://base.garant.ru/12164247/" TargetMode="External"/><Relationship Id="rId49" Type="http://schemas.openxmlformats.org/officeDocument/2006/relationships/hyperlink" Target="http://www.garant.ru/news/1273712/" TargetMode="External"/><Relationship Id="rId57" Type="http://schemas.openxmlformats.org/officeDocument/2006/relationships/hyperlink" Target="http://www.garant.ru/news/1273854/" TargetMode="External"/><Relationship Id="rId61" Type="http://schemas.openxmlformats.org/officeDocument/2006/relationships/hyperlink" Target="http://www.garant.ru/news/1260606/" TargetMode="External"/><Relationship Id="rId10" Type="http://schemas.openxmlformats.org/officeDocument/2006/relationships/hyperlink" Target="http://www.garant.ru/news/1273002/" TargetMode="External"/><Relationship Id="rId19" Type="http://schemas.openxmlformats.org/officeDocument/2006/relationships/hyperlink" Target="http://www.garant.ru/news/1273116/" TargetMode="External"/><Relationship Id="rId31" Type="http://schemas.openxmlformats.org/officeDocument/2006/relationships/hyperlink" Target="http://www.garant.ru/news/1273571/" TargetMode="External"/><Relationship Id="rId44" Type="http://schemas.openxmlformats.org/officeDocument/2006/relationships/hyperlink" Target="http://base.garant.ru/72242750/" TargetMode="External"/><Relationship Id="rId52" Type="http://schemas.openxmlformats.org/officeDocument/2006/relationships/hyperlink" Target="http://base.garant.ru/71846616/1cafb24d049dcd1e7707a22d98e9858f/" TargetMode="External"/><Relationship Id="rId60" Type="http://schemas.openxmlformats.org/officeDocument/2006/relationships/hyperlink" Target="http://www.garant.ru/news/1230820/" TargetMode="External"/><Relationship Id="rId65" Type="http://schemas.openxmlformats.org/officeDocument/2006/relationships/hyperlink" Target="http://base.garant.ru/12125267/3780a465c57513165f942ba713db0691/"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vo.garant.ru/" TargetMode="External"/><Relationship Id="rId14" Type="http://schemas.openxmlformats.org/officeDocument/2006/relationships/hyperlink" Target="http://www.garant.ru/news/1273076/" TargetMode="External"/><Relationship Id="rId22" Type="http://schemas.openxmlformats.org/officeDocument/2006/relationships/hyperlink" Target="http://base.garant.ru/70707138/" TargetMode="External"/><Relationship Id="rId27" Type="http://schemas.openxmlformats.org/officeDocument/2006/relationships/hyperlink" Target="http://www.garant.ru/news/1273543/" TargetMode="External"/><Relationship Id="rId30" Type="http://schemas.openxmlformats.org/officeDocument/2006/relationships/hyperlink" Target="http://base.garant.ru/70291362/" TargetMode="External"/><Relationship Id="rId35" Type="http://schemas.openxmlformats.org/officeDocument/2006/relationships/hyperlink" Target="http://www.garant.ru/news/1273586/" TargetMode="External"/><Relationship Id="rId43" Type="http://schemas.openxmlformats.org/officeDocument/2006/relationships/hyperlink" Target="http://base.garant.ru/12125268/" TargetMode="External"/><Relationship Id="rId48" Type="http://schemas.openxmlformats.org/officeDocument/2006/relationships/hyperlink" Target="http://www.garant.ru/news/1273712/" TargetMode="External"/><Relationship Id="rId56" Type="http://schemas.openxmlformats.org/officeDocument/2006/relationships/hyperlink" Target="http://www.garant.ru/news/1273815/" TargetMode="External"/><Relationship Id="rId64" Type="http://schemas.openxmlformats.org/officeDocument/2006/relationships/hyperlink" Target="http://base.garant.ru/12125267/3780a465c57513165f942ba713db0691/" TargetMode="External"/><Relationship Id="rId69" Type="http://schemas.openxmlformats.org/officeDocument/2006/relationships/hyperlink" Target="http://base.garant.ru/12108380/1e5b7097668500dfe95ca74cfe514823/" TargetMode="External"/><Relationship Id="rId8" Type="http://schemas.openxmlformats.org/officeDocument/2006/relationships/hyperlink" Target="http://www.garant.ru/news/1272965/" TargetMode="External"/><Relationship Id="rId51" Type="http://schemas.openxmlformats.org/officeDocument/2006/relationships/hyperlink" Target="http://www.garant.ru/news/1273813/"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www.garant.ru/news/1273084/" TargetMode="External"/><Relationship Id="rId25" Type="http://schemas.openxmlformats.org/officeDocument/2006/relationships/hyperlink" Target="http://www.garant.ru/news/1273116/" TargetMode="External"/><Relationship Id="rId33" Type="http://schemas.openxmlformats.org/officeDocument/2006/relationships/hyperlink" Target="http://www.garant.ru/news/1273571/" TargetMode="External"/><Relationship Id="rId38" Type="http://schemas.openxmlformats.org/officeDocument/2006/relationships/hyperlink" Target="http://www.garant.ru/news/1273586/" TargetMode="External"/><Relationship Id="rId46" Type="http://schemas.openxmlformats.org/officeDocument/2006/relationships/hyperlink" Target="http://www.garant.ru/news/1273598/" TargetMode="External"/><Relationship Id="rId59" Type="http://schemas.openxmlformats.org/officeDocument/2006/relationships/hyperlink" Target="http://www.garant.ru/news/1267190/" TargetMode="External"/><Relationship Id="rId67" Type="http://schemas.openxmlformats.org/officeDocument/2006/relationships/hyperlink" Target="http://www.garant.ru/news/1273854/" TargetMode="External"/><Relationship Id="rId20" Type="http://schemas.openxmlformats.org/officeDocument/2006/relationships/hyperlink" Target="http://base.garant.ru/10900200/3c9c72380388b707a88dcf14d96be986/" TargetMode="External"/><Relationship Id="rId41" Type="http://schemas.openxmlformats.org/officeDocument/2006/relationships/hyperlink" Target="http://base.garant.ru/12188217/f7ee959fd36b5699076b35abf4f52c5c/" TargetMode="External"/><Relationship Id="rId54" Type="http://schemas.openxmlformats.org/officeDocument/2006/relationships/hyperlink" Target="http://base.garant.ru/184404/" TargetMode="External"/><Relationship Id="rId62" Type="http://schemas.openxmlformats.org/officeDocument/2006/relationships/hyperlink" Target="http://base.garant.ru/72113648/1cafb24d049dcd1e7707a22d98e9858f/" TargetMode="External"/><Relationship Id="rId70" Type="http://schemas.openxmlformats.org/officeDocument/2006/relationships/hyperlink" Target="http://base.garant.ru/12108380/" TargetMode="External"/><Relationship Id="rId1" Type="http://schemas.openxmlformats.org/officeDocument/2006/relationships/numbering" Target="numbering.xml"/><Relationship Id="rId6" Type="http://schemas.openxmlformats.org/officeDocument/2006/relationships/hyperlink" Target="http://www.garant.ru/news/12729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5620</Words>
  <Characters>32036</Characters>
  <Application>Microsoft Office Word</Application>
  <DocSecurity>0</DocSecurity>
  <Lines>266</Lines>
  <Paragraphs>75</Paragraphs>
  <ScaleCrop>false</ScaleCrop>
  <Company/>
  <LinksUpToDate>false</LinksUpToDate>
  <CharactersWithSpaces>37581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3</cp:revision>
  <dcterms:created xsi:type="dcterms:W3CDTF">2019-05-27T05:45:00Z</dcterms:created>
  <dcterms:modified xsi:type="dcterms:W3CDTF">2019-05-27T05:46:00Z</dcterms:modified>
</cp:coreProperties>
</file>