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B78" w:rsidRDefault="00BD5B78" w:rsidP="00BD5B78">
      <w:pPr>
        <w:jc w:val="both"/>
        <w:rPr>
          <w:rFonts w:ascii="Times New Roman" w:hAnsi="Times New Roman" w:cs="Times New Roman"/>
          <w:b/>
          <w:bCs/>
          <w:color w:val="7030A0"/>
          <w:sz w:val="24"/>
          <w:szCs w:val="24"/>
          <w:u w:val="single"/>
        </w:rPr>
      </w:pPr>
      <w:r>
        <w:rPr>
          <w:rFonts w:ascii="Times New Roman" w:hAnsi="Times New Roman" w:cs="Times New Roman"/>
          <w:b/>
          <w:bCs/>
          <w:color w:val="7030A0"/>
          <w:sz w:val="24"/>
          <w:szCs w:val="24"/>
          <w:u w:val="single"/>
        </w:rPr>
        <w:t>Минэкономразвития России подготовило поправки в ГК РФ в целях уточнения определения недвижимости</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22 февраля 2019</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В целях определенности в вопросах отнесения имущества к недвижимости Минэкономразвития России разработало законопроект "О внесении изменений в части первую и вторую Гражданского кодекса Российской Федерации в части совершенствования законодательства о недвижимом имуществе". Документ уже внесен в Правительство РФ. Информация содержится в письме ФНС России от 18 февраля 2019 г. № БС-4-21/2667@ "О рассмотрении запроса".</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Основными задачами документа являются:</w:t>
      </w:r>
    </w:p>
    <w:p w:rsidR="00BD5B78" w:rsidRDefault="00BD5B78" w:rsidP="00BD5B78">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уточнение понятий объекта недвижимости, его увязка с иными понятиями, используемыми в других отраслях законодательства: "объект капитального строительства", "строение", "здание", "сооружение";</w:t>
      </w:r>
    </w:p>
    <w:p w:rsidR="00BD5B78" w:rsidRDefault="00BD5B78" w:rsidP="00BD5B78">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уточнение правового регулирования в отношении единого недвижимого комплекса, предприятия, сложной и неделимой вещи;</w:t>
      </w:r>
    </w:p>
    <w:p w:rsidR="00BD5B78" w:rsidRDefault="00BD5B78" w:rsidP="00BD5B78">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установление порядка образования нового объекта недвижимости.</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В настоящее время возникают споры о квалификации объектов в качестве недвижимости, в том числе для целей налогообложения. Чаще всего это касается объектов, обладающих признаками сооружений: трансформаторная подстанция, тепловые сети, эстакада и другие.</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 xml:space="preserve">Для выявления оснований отнесения объекта к недвижимости необходимо исследовать сведения ЕГРН. При их отсутствии – прочную связь с землей и невозможность перемещения объекта без несоразмерного ущерба его назначению. </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Государственная регистрация права не является обязательным условием для признания вещи недвижимостью. Для отнесения объекта к недвижимости необходимо учитывать его природные свойства или указание федерального закона о подчинении вещи режиму недвижимости.</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Движимое имущество не признается объектом налогообложения по налогу на имущество организаций с 1 января 2019 года.</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 xml:space="preserve">ГАРАНТ.РУ: </w:t>
      </w:r>
      <w:hyperlink r:id="rId5" w:anchor="ixzz5gOV2rdKQ" w:history="1">
        <w:r>
          <w:rPr>
            <w:rStyle w:val="a3"/>
            <w:rFonts w:ascii="Times New Roman" w:hAnsi="Times New Roman" w:cs="Times New Roman"/>
            <w:sz w:val="24"/>
            <w:szCs w:val="24"/>
          </w:rPr>
          <w:t>http://www.garant.ru/news/1260301/#ixzz5gOV2rdKQ</w:t>
        </w:r>
      </w:hyperlink>
    </w:p>
    <w:p w:rsidR="00BD5B78" w:rsidRDefault="00BD5B78" w:rsidP="00BD5B78">
      <w:pPr>
        <w:jc w:val="both"/>
        <w:rPr>
          <w:rFonts w:ascii="Times New Roman" w:hAnsi="Times New Roman" w:cs="Times New Roman"/>
          <w:sz w:val="24"/>
          <w:szCs w:val="24"/>
        </w:rPr>
      </w:pPr>
    </w:p>
    <w:p w:rsidR="00BD5B78" w:rsidRDefault="00BD5B78" w:rsidP="00BD5B78">
      <w:pPr>
        <w:jc w:val="both"/>
        <w:rPr>
          <w:rFonts w:ascii="Times New Roman" w:hAnsi="Times New Roman" w:cs="Times New Roman"/>
          <w:b/>
          <w:bCs/>
          <w:color w:val="7030A0"/>
          <w:sz w:val="24"/>
          <w:szCs w:val="24"/>
          <w:u w:val="single"/>
        </w:rPr>
      </w:pPr>
      <w:r>
        <w:rPr>
          <w:rFonts w:ascii="Times New Roman" w:hAnsi="Times New Roman" w:cs="Times New Roman"/>
          <w:b/>
          <w:bCs/>
          <w:color w:val="7030A0"/>
          <w:sz w:val="24"/>
          <w:szCs w:val="24"/>
          <w:u w:val="single"/>
        </w:rPr>
        <w:t>Минздрав России предложил новую форму медицинской книжки</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22 февраля 2019</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Минздрав России подготовил проект приказа об утверждении новой формы личной медицинской книжки и порядка ее заполнения. В новой книжке будет отсутствовать раздел "Профессиональная гигиеническая подготовка и аттестация". Ранее выданные книжки замене не подлежат и действительны до полного заполнения всех страниц.</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Планируется актуализировать перечень категорий работников, которым выдается медицинская книжка. В соответствии с ныне действующим приказом Роспотребнадзора от 20 мая 2005 г. № 402 "О личной медицинской книжке и санитарном паспорте" медицинские книжки выдаются работникам отдельных профессий, производств и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Предлагаемый порядок предусматривает выдачу медицинских книжек следующим категориям работников:</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 работникам организаций пищевой промышленности, молочных и раздаточных пунктов, баз и складов продовольственных товаров, имеющим контакт с пищевыми продуктами в процессе их производства, хранения, транспортировки на всех видах транспорта, реализации, а также при проведении санитарной обработки и ремонте инвентаря, оборудования;</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 работникам организаций общественного питания, торговли, буфетов, пищеблоков, в том числе на транспорте;</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lastRenderedPageBreak/>
        <w:t>- работникам образовательных организаций всех типов и видов, а также детских организаций, не осуществляющих образовательную деятельность (спортивные секции, творческие, досуговые детские организации и т. п.);</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 работникам детских и подростковых сезонных оздоровительных организаций;</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 работникам дошкольных образовательных организаций, домов ребенка, организаций для детей-сирот и детей, оставшихся без попечения родителей (лиц, их заменяющих), образовательных организаций интернатного типа, оздоровительных образовательных организаций, в том числе санаторного типа, детских санаториев, круглогодичных лагерей отдыха, а также организаций социального обслуживания, осуществляющих предоставление социальных услуг в стационарной форме социального обслуживания, полустационарной форме социального обслуживания, в форме социального обслуживания на дому;</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 работникам организаций бытового обслуживания (банщики, работники душевых, парикмахерских);</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 работникам бассейнов и водолечебниц;</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 работникам гостиниц, общежитий, пассажирских вагонов (проводники), стюардессам;</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 работникам организаций медицинской промышленности и аптечной сети, связанным с изготовлением, расфасовкой и реализацией лекарственных средств;</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 работникам водопроводных сооружений, связанным с подготовкой воды и обслуживанием водопроводных сетей;</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 работникам организаций по переработке молока и изготовлению молочных продуктов.</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 xml:space="preserve">ГАРАНТ.РУ: </w:t>
      </w:r>
      <w:hyperlink r:id="rId6" w:anchor="ixzz5gOoDtW00" w:history="1">
        <w:r>
          <w:rPr>
            <w:rStyle w:val="a3"/>
            <w:rFonts w:ascii="Times New Roman" w:hAnsi="Times New Roman" w:cs="Times New Roman"/>
            <w:sz w:val="24"/>
            <w:szCs w:val="24"/>
          </w:rPr>
          <w:t>http://www.garant.ru/news/1260133/#ixzz5gOoDtW00</w:t>
        </w:r>
      </w:hyperlink>
    </w:p>
    <w:p w:rsidR="00BD5B78" w:rsidRDefault="00BD5B78" w:rsidP="00BD5B78">
      <w:pPr>
        <w:jc w:val="both"/>
        <w:rPr>
          <w:rFonts w:ascii="Times New Roman" w:hAnsi="Times New Roman" w:cs="Times New Roman"/>
          <w:sz w:val="24"/>
          <w:szCs w:val="24"/>
        </w:rPr>
      </w:pPr>
    </w:p>
    <w:p w:rsidR="00BD5B78" w:rsidRDefault="00BD5B78" w:rsidP="00BD5B78">
      <w:pPr>
        <w:jc w:val="both"/>
        <w:rPr>
          <w:rFonts w:ascii="Times New Roman" w:hAnsi="Times New Roman" w:cs="Times New Roman"/>
          <w:b/>
          <w:bCs/>
          <w:color w:val="7030A0"/>
          <w:sz w:val="24"/>
          <w:szCs w:val="24"/>
          <w:u w:val="single"/>
        </w:rPr>
      </w:pPr>
      <w:r>
        <w:rPr>
          <w:rFonts w:ascii="Times New Roman" w:hAnsi="Times New Roman" w:cs="Times New Roman"/>
          <w:b/>
          <w:bCs/>
          <w:color w:val="7030A0"/>
          <w:sz w:val="24"/>
          <w:szCs w:val="24"/>
          <w:u w:val="single"/>
        </w:rPr>
        <w:t>До 25 марта организации и ИП, обязанные идентифицировать своих клиентов, должны обновить правила внутреннего контроля</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22 февраля 2019</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23 февраля 2019 года вступил в силу приказ Федеральной службы по финансовому мониторингу от 22 ноября 2018 г. № 366 (далее – Приказ № 366), которым утверждены новые правила идентификации клиентов, представителей клиента, выгодоприобретателей и бенефициарных владельцев, в том числе с учетом степени (уровня) риска совершения операций в целях легализации (отмывания) доходов, полученных преступным путем, и финансирования терроризма (информационное сообщение Росфинмониторинга от 15 февраля 2019 г.).</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Субъекты Федерального закона от 7 августа 2001 г. № 115-ФЗ "О противодействии легализации (отмыванию) доходов, полученных преступным путем, и финансированию терроризма", за исключением кредитных и некредитных финансовых организаций, поднадзорных Банку России, должны привести свои правила внутреннего контроля в соответствие с новыми требованиями не позднее месяца после даты вступления в силу Приказа № 366.</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В связи с этим Росфинмониторинг информирует о том, что указанным субъектам необходимо обновить правила внутреннего контроля не позднее 25 марта 2019 года и разместить обновленные правила в своих личных кабинетах на сайте Службы.</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Требования, предусмотренные Приказом № 366, должны выполнять многие организации, осуществляющие операции с денежными средствами или иным имуществом (лизинговые компании, организации, оказывающие посреднические услуги при осуществлении сделок купли-продажи недвижимого имущества, операторы по приему платежей и т. д.), а также – в ряде случаев – ИП, адвокаты, нотариусы и лица, осуществляющие предпринимательскую деятельность в сфере оказания юридических или бухгалтерских услуг.</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 xml:space="preserve">ГАРАНТ.РУ: </w:t>
      </w:r>
      <w:hyperlink r:id="rId7" w:anchor="ixzz5gOrGM6cH" w:history="1">
        <w:r>
          <w:rPr>
            <w:rStyle w:val="a3"/>
            <w:rFonts w:ascii="Times New Roman" w:hAnsi="Times New Roman" w:cs="Times New Roman"/>
            <w:sz w:val="24"/>
            <w:szCs w:val="24"/>
          </w:rPr>
          <w:t>http://www.garant.ru/news/1260130/#ixzz5gOrGM6cH</w:t>
        </w:r>
      </w:hyperlink>
    </w:p>
    <w:p w:rsidR="00BD5B78" w:rsidRDefault="00BD5B78" w:rsidP="00BD5B78">
      <w:pPr>
        <w:jc w:val="both"/>
        <w:rPr>
          <w:rFonts w:ascii="Times New Roman" w:hAnsi="Times New Roman" w:cs="Times New Roman"/>
          <w:sz w:val="24"/>
          <w:szCs w:val="24"/>
        </w:rPr>
      </w:pPr>
    </w:p>
    <w:p w:rsidR="00BD5B78" w:rsidRDefault="00BD5B78" w:rsidP="00BD5B78">
      <w:pPr>
        <w:jc w:val="both"/>
        <w:rPr>
          <w:rFonts w:ascii="Times New Roman" w:hAnsi="Times New Roman" w:cs="Times New Roman"/>
          <w:b/>
          <w:bCs/>
          <w:color w:val="7030A0"/>
          <w:sz w:val="24"/>
          <w:szCs w:val="24"/>
          <w:u w:val="single"/>
        </w:rPr>
      </w:pPr>
      <w:r>
        <w:rPr>
          <w:rFonts w:ascii="Times New Roman" w:hAnsi="Times New Roman" w:cs="Times New Roman"/>
          <w:b/>
          <w:bCs/>
          <w:color w:val="7030A0"/>
          <w:sz w:val="24"/>
          <w:szCs w:val="24"/>
          <w:u w:val="single"/>
        </w:rPr>
        <w:t>Не исключено, что водители грузовиков и автобусов не смогут находиться за рулем более девяти часов в сутки</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21 февраля 2019</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lastRenderedPageBreak/>
        <w:t>Минтранс России предлагает дополнить ПДД новым разделом, посвященным нормам времени управления транспортным средством и отдыха. Водители, управляющие грузовыми автомобилями, разрешенная максимальная масса которых больше 3,5 тонн, и автобусами, каждые 4,5 часа должны будут отдыхать не менее 45 минут. Ожидается, что этот перерыв можно будет разбить на две части, первая из которых составит не менее 15 минут, а вторая – не менее 30 минут.</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Также для указанной категории водителей может быть установлен и ряд ограничений по управлению транспортным средством в течение суток:</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 управление транспортным средством не более 9 часов с возможностью увеличения этого времени до 10 часов, но не более двух раз в течение календарной недели;</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 ежедневный отдых водителя от управления транспортным средством должен быть не менее 11 часов с возможным сокращением этого периода до 9 часов не более трех раз между двумя следующими друг за другом еженедельными временными промежутками для отдыха.</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Причем не исключено, что в течение календарной недели водители упомянутых грузовиков и автобусов смогут управлять транспортными средствами не более 56 часов, а еженедельный отдых водителя будет составлять не менее 24 часов, без учета ежедневного отдыха. Планируется ввести запрет на эксплуатацию грузовых автомобилей с разрешенной максимальной массой свыше 3,5 тонн и автобусов без тахографа, в случае, если его установка является обязательной. Публичное обсуждение и независимая антикоррупционная экспертиза документа завершатся 13 марта.</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 xml:space="preserve">ГАРАНТ.РУ: </w:t>
      </w:r>
      <w:hyperlink r:id="rId8" w:anchor="ixzz5gUL8QWrN" w:history="1">
        <w:r>
          <w:rPr>
            <w:rStyle w:val="a3"/>
            <w:rFonts w:ascii="Times New Roman" w:hAnsi="Times New Roman" w:cs="Times New Roman"/>
            <w:sz w:val="24"/>
            <w:szCs w:val="24"/>
          </w:rPr>
          <w:t>http://www.garant.ru/news/1259722/#ixzz5gUL8QWrN</w:t>
        </w:r>
      </w:hyperlink>
    </w:p>
    <w:p w:rsidR="00BD5B78" w:rsidRDefault="00BD5B78" w:rsidP="00BD5B78">
      <w:pPr>
        <w:jc w:val="both"/>
      </w:pPr>
    </w:p>
    <w:p w:rsidR="00BD5B78" w:rsidRDefault="00BD5B78" w:rsidP="00BD5B78">
      <w:pPr>
        <w:jc w:val="both"/>
        <w:rPr>
          <w:rFonts w:ascii="Times New Roman" w:hAnsi="Times New Roman" w:cs="Times New Roman"/>
          <w:b/>
          <w:bCs/>
          <w:color w:val="7030A0"/>
          <w:sz w:val="24"/>
          <w:szCs w:val="24"/>
          <w:u w:val="single"/>
        </w:rPr>
      </w:pPr>
      <w:r>
        <w:rPr>
          <w:rFonts w:ascii="Times New Roman" w:hAnsi="Times New Roman" w:cs="Times New Roman"/>
          <w:b/>
          <w:bCs/>
          <w:color w:val="7030A0"/>
          <w:sz w:val="24"/>
          <w:szCs w:val="24"/>
          <w:u w:val="single"/>
        </w:rPr>
        <w:t>С 1 июня 2020 года приставы не смогут взыскивать долги с социальных выплат</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21 февраля 2019</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Сегодня Президент РФ Владимир Путин подписал федеральный закон, ограничивающий списание пенсий, пособий и других социальных выплат в счет долгов приставам. Это выплаты гражданам, пострадавшим в результате ЧС, единовременной материальной или финансовой помощи в связи с утратой имущества первой необходимости или в качестве единовременного пособия членам семей граждан, погибших в результате ЧС, и гражданам, здоровью которых в результате ЧС причинен вред различной степени тяжести (Федеральный закон от 21 февраля 2019 г. № 12-ФЗ "О внесении изменений в Федеральный закон "Об исполнительном производстве").</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Законом будет введена обязанность работодателей, выплачивающих гражданину зарплату и другие доходы, на которые не может быть обращено взыскание, указывать в расчетных документах необходимый код вида дохода. Соответствующий порядок предстоит определить Банку России.</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 xml:space="preserve">Судебные приставы получат право запрашивать у налоговых органов и банков любые сведения для своевременного и полного исполнения требований исполнительного документа. Документ вступит в силу 1 июня 2020 года. </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 xml:space="preserve">ГАРАНТ.РУ: </w:t>
      </w:r>
      <w:hyperlink r:id="rId9" w:anchor="ixzz5gWCrtAdA" w:history="1">
        <w:r>
          <w:rPr>
            <w:rStyle w:val="a3"/>
            <w:rFonts w:ascii="Times New Roman" w:hAnsi="Times New Roman" w:cs="Times New Roman"/>
            <w:sz w:val="24"/>
            <w:szCs w:val="24"/>
          </w:rPr>
          <w:t>http://www.garant.ru/news/1260095/#ixzz5gWCrtAdA</w:t>
        </w:r>
      </w:hyperlink>
    </w:p>
    <w:p w:rsidR="00BD5B78" w:rsidRDefault="00BD5B78" w:rsidP="00BD5B78">
      <w:pPr>
        <w:jc w:val="both"/>
        <w:rPr>
          <w:rFonts w:ascii="Times New Roman" w:hAnsi="Times New Roman" w:cs="Times New Roman"/>
          <w:sz w:val="24"/>
          <w:szCs w:val="24"/>
        </w:rPr>
      </w:pPr>
    </w:p>
    <w:p w:rsidR="00BD5B78" w:rsidRDefault="00BD5B78" w:rsidP="00BD5B78">
      <w:pPr>
        <w:jc w:val="both"/>
        <w:rPr>
          <w:rFonts w:ascii="Times New Roman" w:hAnsi="Times New Roman" w:cs="Times New Roman"/>
          <w:b/>
          <w:bCs/>
          <w:color w:val="7030A0"/>
          <w:sz w:val="24"/>
          <w:szCs w:val="24"/>
          <w:u w:val="single"/>
        </w:rPr>
      </w:pPr>
      <w:r>
        <w:rPr>
          <w:rFonts w:ascii="Times New Roman" w:hAnsi="Times New Roman" w:cs="Times New Roman"/>
          <w:b/>
          <w:bCs/>
          <w:color w:val="7030A0"/>
          <w:sz w:val="24"/>
          <w:szCs w:val="24"/>
          <w:u w:val="single"/>
        </w:rPr>
        <w:t>Доставка сотрудников к месту работы и обратно: взносы начисляем, НДФЛ удерживаем</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20 февраля 2019</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Минфин России считает, что Налоговый кодекс не содержит оснований для освобождения оплаты проезда к месту работы и обратно транспортом общего пользования, специальными маршрутами, ведомственным транспортом от страховых взносов и НДФЛ (письмо Минфина России от 18 января 2019 г. № 03-03-06/1/2093).</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 xml:space="preserve">В новом письме нет никаких оговорок, в том числе о персонификации подобных выплат, о невозможности добраться до работы на транспорте, о заинтересованности в указанных расходах работодателя, а не работника. Ранее такие обстоятельства рассматривались в </w:t>
      </w:r>
      <w:r>
        <w:rPr>
          <w:rFonts w:ascii="Times New Roman" w:hAnsi="Times New Roman" w:cs="Times New Roman"/>
          <w:sz w:val="24"/>
          <w:szCs w:val="24"/>
        </w:rPr>
        <w:lastRenderedPageBreak/>
        <w:t>разъяснениях Минфина России и судебных актах, как позволяющие избежать уплаты НДФЛ и взносов.</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По поводу учета расходов на доставку в целях налогообложения прибыли указано лишь, что обоснованность расходов, учитываемых при расчете налоговой базы, должна оцениваться с учетом обстоятельств, свидетельствующих о намерениях налогоплательщика получить экономический эффект в результате реальной предпринимательской или иной экономической деятельности.</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 xml:space="preserve">ГАРАНТ.РУ: </w:t>
      </w:r>
      <w:hyperlink r:id="rId10" w:anchor="ixzz5gU7zPVvc" w:history="1">
        <w:r>
          <w:rPr>
            <w:rStyle w:val="a3"/>
            <w:rFonts w:ascii="Times New Roman" w:hAnsi="Times New Roman" w:cs="Times New Roman"/>
            <w:sz w:val="24"/>
            <w:szCs w:val="24"/>
          </w:rPr>
          <w:t>http://www.garant.ru/news/1259608/#ixzz5gU7zPVvc</w:t>
        </w:r>
      </w:hyperlink>
    </w:p>
    <w:p w:rsidR="00BD5B78" w:rsidRDefault="00BD5B78" w:rsidP="00BD5B78">
      <w:pPr>
        <w:jc w:val="both"/>
        <w:rPr>
          <w:rFonts w:ascii="Times New Roman" w:hAnsi="Times New Roman" w:cs="Times New Roman"/>
          <w:sz w:val="24"/>
          <w:szCs w:val="24"/>
        </w:rPr>
      </w:pPr>
    </w:p>
    <w:p w:rsidR="00BD5B78" w:rsidRDefault="00BD5B78" w:rsidP="00BD5B78">
      <w:pPr>
        <w:jc w:val="both"/>
        <w:rPr>
          <w:rFonts w:ascii="Times New Roman" w:hAnsi="Times New Roman" w:cs="Times New Roman"/>
          <w:b/>
          <w:bCs/>
          <w:color w:val="7030A0"/>
          <w:sz w:val="24"/>
          <w:szCs w:val="24"/>
          <w:u w:val="single"/>
        </w:rPr>
      </w:pPr>
      <w:r>
        <w:rPr>
          <w:rFonts w:ascii="Times New Roman" w:hAnsi="Times New Roman" w:cs="Times New Roman"/>
          <w:b/>
          <w:bCs/>
          <w:color w:val="7030A0"/>
          <w:sz w:val="24"/>
          <w:szCs w:val="24"/>
          <w:u w:val="single"/>
        </w:rPr>
        <w:t>Налоговики не вправе отказать в приеме декларации из-за недостоверности сведений в ЕГРЮЛ о руководителе юрлица</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20 февраля 2019</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Соответствующий вывод содержится в постановлении Арбитражного суда Уральского округа от 17 января 2019 г. № Ф09-9102/18 по делу № А76-5771/2018. При этом на момент рассмотрения дела в суде информация о недостоверности сведений не оспаривалась налогоплательщиком и не исключена инспекцией из ЕГРЮЛ. В отношении физлица на дату представления декларации в ЕГРЮЛ имелись сведения о недостоверности данных о нем, как учредителе и лице, имеющем право без доверенности действовать от имени общества. В качестве дополнительного доказательства того, что физлицо не является директором общества, инспекция представила протокол его допроса.</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Налогоплательщик обратился в суд из-за отказа принять декларацию по НДС, так как посчитала, что она подписана электронной подписью лица, не являющегося руководителем организации. По мнению налоговиков, нарушаются положения п. 5 ст. 80 Налогового кодекса, так как декларация подписана неуполномоченным лицом. Инспекция указала на свое право проверять полномочия лица, подписавшего представленную декларацию по ТКС от имени налогоплательщика.</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Кассационный суд указал, что такие доводы инспекции не могут быть основанием для отказа в принятии декларации. Закрытый перечень оснований, по которым декларация может быть не принята, содержится в п. 28 Административного регламента, утв. приказом Минфина России от 2 июля 2012 г. № 99н. Но ни этим документом, ни НК РФ в целях принятия решения об отказе в приеме декларации не установлены такие полномочия, как оценка достоверности подписи лица на налоговой декларации, установление реальности исполнения обязанностей руководителем юрлица, иного лица, подписавшего декларацию. Установленные инспекцией обстоятельства можно учитывать при проведении проверки достоверности сведений, содержащихся в декларации.</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дела суд кассационный инстанции оставил постановление суда апелляционной инстанции в силе, а жалобу инспекции – без удовлетворения.</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 xml:space="preserve">ГАРАНТ.РУ: </w:t>
      </w:r>
      <w:hyperlink r:id="rId11" w:anchor="ixzz5gU9sVXqr" w:history="1">
        <w:r>
          <w:rPr>
            <w:rStyle w:val="a3"/>
            <w:rFonts w:ascii="Times New Roman" w:hAnsi="Times New Roman" w:cs="Times New Roman"/>
            <w:sz w:val="24"/>
            <w:szCs w:val="24"/>
          </w:rPr>
          <w:t>http://www.garant.ru/news/1259588/#ixzz5gU9sVXqr</w:t>
        </w:r>
      </w:hyperlink>
    </w:p>
    <w:p w:rsidR="00BD5B78" w:rsidRDefault="00BD5B78" w:rsidP="00BD5B78">
      <w:pPr>
        <w:jc w:val="both"/>
        <w:rPr>
          <w:rFonts w:ascii="Times New Roman" w:hAnsi="Times New Roman" w:cs="Times New Roman"/>
          <w:sz w:val="24"/>
          <w:szCs w:val="24"/>
        </w:rPr>
      </w:pPr>
    </w:p>
    <w:p w:rsidR="00BD5B78" w:rsidRDefault="00BD5B78" w:rsidP="00BD5B78">
      <w:pPr>
        <w:jc w:val="both"/>
        <w:rPr>
          <w:rFonts w:ascii="Times New Roman" w:hAnsi="Times New Roman" w:cs="Times New Roman"/>
          <w:b/>
          <w:bCs/>
          <w:color w:val="7030A0"/>
          <w:sz w:val="24"/>
          <w:szCs w:val="24"/>
          <w:u w:val="single"/>
        </w:rPr>
      </w:pPr>
      <w:r>
        <w:rPr>
          <w:rFonts w:ascii="Times New Roman" w:hAnsi="Times New Roman" w:cs="Times New Roman"/>
          <w:b/>
          <w:bCs/>
          <w:color w:val="7030A0"/>
          <w:sz w:val="24"/>
          <w:szCs w:val="24"/>
          <w:u w:val="single"/>
        </w:rPr>
        <w:t>Что будет, если опоздали с подтверждением основного вида деятельности в ФСС России?</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19 февраля 2019</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Тариф взносов в ФСС России по "травматизму" зависит от класса профессионального риска, соответствующего основному виду деятельности страхователя. Для его подтверждения организации должны ежегодно не позднее 15 апреля представлять документы в ФСС России. Если сведения не представлены в срок, при определении тарифа фонд может учесть вид деятельности из ЕГРЮЛ с наиболее высоким классом риска (постановление АС Волго-Вятского округа от 26 декабря 2018 г. по делу № А43-15392/2017).</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 xml:space="preserve">В сентябре прошлого года Верховный суд Российской Федерации сформулировал правило для ситуаций, когда документы поданы страхователем с просрочкой, но до установления ему размера тарифа (Определение Судебной коллегии по экономическим спорам ВС РФ от </w:t>
      </w:r>
      <w:r>
        <w:rPr>
          <w:rFonts w:ascii="Times New Roman" w:hAnsi="Times New Roman" w:cs="Times New Roman"/>
          <w:sz w:val="24"/>
          <w:szCs w:val="24"/>
        </w:rPr>
        <w:lastRenderedPageBreak/>
        <w:t>11 сентября 2018 г. № 309-КГ18-7926). Позиция судей: фонд должен оценить эти документы и учесть их при определении размера тарифа.</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В судах продолжают рассматриваться дела, суть которых аналогична: при вынесении решения полученные с опозданием документы ФСС России к сведению не принял, обосновав это тем, что в установленный срок документы не поступили, а значит, страхователь не подтвердил свой основной вид деятельности. По очередному такому делу судьи трех инстанций в который раз указали, что документы, представленные с нарушением срока, но до направления страхователю уведомления об установлении тарифа, должны быть учтены фондом при вынесении решения.</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 xml:space="preserve">ГАРАНТ.РУ: </w:t>
      </w:r>
      <w:hyperlink r:id="rId12" w:anchor="ixzz5gUCiqNit" w:history="1">
        <w:r>
          <w:rPr>
            <w:rStyle w:val="a3"/>
            <w:rFonts w:ascii="Times New Roman" w:hAnsi="Times New Roman" w:cs="Times New Roman"/>
            <w:sz w:val="24"/>
            <w:szCs w:val="24"/>
          </w:rPr>
          <w:t>http://www.garant.ru/news/1259461/#ixzz5gUCiqNit</w:t>
        </w:r>
      </w:hyperlink>
    </w:p>
    <w:p w:rsidR="00BD5B78" w:rsidRDefault="00BD5B78" w:rsidP="00BD5B78">
      <w:pPr>
        <w:jc w:val="both"/>
        <w:rPr>
          <w:rFonts w:ascii="Times New Roman" w:hAnsi="Times New Roman" w:cs="Times New Roman"/>
          <w:sz w:val="24"/>
          <w:szCs w:val="24"/>
        </w:rPr>
      </w:pPr>
    </w:p>
    <w:p w:rsidR="00BD5B78" w:rsidRDefault="00BD5B78" w:rsidP="00BD5B78">
      <w:pPr>
        <w:jc w:val="both"/>
        <w:rPr>
          <w:rFonts w:ascii="Times New Roman" w:hAnsi="Times New Roman" w:cs="Times New Roman"/>
          <w:b/>
          <w:bCs/>
          <w:color w:val="7030A0"/>
          <w:sz w:val="24"/>
          <w:szCs w:val="24"/>
          <w:u w:val="single"/>
        </w:rPr>
      </w:pPr>
      <w:r>
        <w:rPr>
          <w:rFonts w:ascii="Times New Roman" w:hAnsi="Times New Roman" w:cs="Times New Roman"/>
          <w:b/>
          <w:bCs/>
          <w:color w:val="7030A0"/>
          <w:sz w:val="24"/>
          <w:szCs w:val="24"/>
          <w:u w:val="single"/>
        </w:rPr>
        <w:t>Наличие долга и незавершенные расчеты могут быть препятствиями для исключения юрлица из ЕГРЮЛ</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19 февраля 2019</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Соответствующие причины общество указало в заявлении против предстоящего исключения контрагента из ЕГРЮЛ и Верховный Суд Российской Федерации с ними согласился (Определение ВС РФ от 12 февраля 2019 г. № 304-КГ18-18451).</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Суды трех инстанций встали на сторону налоговиков, сославшись на то, что в заявлении не указано, какие именно права и законные интересы заявителя нарушены в результате исключения недействующего юрлица из ЕГРЮЛ. ВС РФ отметил, что у суда округа не было оснований оставлять без изменений решение суда первой инстанции и постановление апелляционного суда, так как суды при рассмотрении дела не исследовали приведенные обществом возражения и не дали им оценку. Суды не изучили вопрос, касающийся наличия доказательств нарушения прав и законных интересов заявителя.</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Заявление с возражениями о предстоящем исключении общества из ЕГРЮЛ должно быть мотивированным, оно направляется в срок не позднее трех месяцев со дня опубликования решения о предстоящем исключении юрлица из реестра (п. 3-4 ст. 21.1 Федерального закона от 8 августа 2001 г. № 129-ФЗ "О государственной регистрации юридических лиц и индивидуальных предпринимателей").</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ВС РФ отметил, что данный трехмесячный срок не является пресекательным. При этом заявление не предполагает документального обоснования. А срок, в который инспекция принимает решение об исключении из реестра недействующего юрлица, не установлен.</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дела ВС РФ направил дело на новое рассмотрение в суд первой инстанции.</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 xml:space="preserve">ГАРАНТ.РУ: </w:t>
      </w:r>
      <w:hyperlink r:id="rId13" w:anchor="ixzz5gUF8kzxY" w:history="1">
        <w:r>
          <w:rPr>
            <w:rStyle w:val="a3"/>
            <w:rFonts w:ascii="Times New Roman" w:hAnsi="Times New Roman" w:cs="Times New Roman"/>
            <w:sz w:val="24"/>
            <w:szCs w:val="24"/>
          </w:rPr>
          <w:t>http://www.garant.ru/news/1259428/#ixzz5gUF8kzxY</w:t>
        </w:r>
      </w:hyperlink>
    </w:p>
    <w:p w:rsidR="00BD5B78" w:rsidRDefault="00BD5B78" w:rsidP="00BD5B78">
      <w:pPr>
        <w:jc w:val="both"/>
        <w:rPr>
          <w:rFonts w:ascii="Times New Roman" w:hAnsi="Times New Roman" w:cs="Times New Roman"/>
          <w:sz w:val="24"/>
          <w:szCs w:val="24"/>
        </w:rPr>
      </w:pPr>
    </w:p>
    <w:p w:rsidR="00BD5B78" w:rsidRDefault="00BD5B78" w:rsidP="00BD5B78">
      <w:pPr>
        <w:jc w:val="both"/>
        <w:rPr>
          <w:rFonts w:ascii="Times New Roman" w:hAnsi="Times New Roman" w:cs="Times New Roman"/>
          <w:b/>
          <w:bCs/>
          <w:color w:val="7030A0"/>
          <w:sz w:val="24"/>
          <w:szCs w:val="24"/>
          <w:u w:val="single"/>
        </w:rPr>
      </w:pPr>
      <w:r>
        <w:rPr>
          <w:rFonts w:ascii="Times New Roman" w:hAnsi="Times New Roman" w:cs="Times New Roman"/>
          <w:b/>
          <w:bCs/>
          <w:color w:val="7030A0"/>
          <w:sz w:val="24"/>
          <w:szCs w:val="24"/>
          <w:u w:val="single"/>
        </w:rPr>
        <w:t>С 1 марта изменятся обязательные реквизиты и порядок заполнения путевых листов</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19 февраля 2019</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 xml:space="preserve">С 1 марта в обязательных реквизитах путевого листа в числе cведений о транспортном средстве будут содержаться показания одометра при выезде транспортного средства с парковки, предназначенной для его стоянки по возвращении из рейса и окончании смены (рабочего дня) водителя транспортного средства. Еще в этих реквизитах будет отражаться дата (число, месяц, год) и время (часы, минуты) выезда транспортного средства с места парковки и его заезда на нее (приказ Минтранса России от 21 декабря 2018 г. № 467). </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 xml:space="preserve">Путевой лист будет оформляться до начала выполнения рейса, если длительность рейса водителя транспортного средства превышает продолжительность смены (рабочего дня), или до начала первого рейса, если в течение смены (рабочего дня) водитель транспортного средства совершает один или несколько рейсов. В настоящий момент он оформляется на один день или срок, не превышающий одного месяца (п. 10 Обязательных реквизитов и порядка заполнения путевых листов). Если на одно транспортное средство станут оформлять несколько путевых листов раздельно на каждого водителя, то отметку о </w:t>
      </w:r>
      <w:r>
        <w:rPr>
          <w:rFonts w:ascii="Times New Roman" w:hAnsi="Times New Roman" w:cs="Times New Roman"/>
          <w:sz w:val="24"/>
          <w:szCs w:val="24"/>
        </w:rPr>
        <w:lastRenderedPageBreak/>
        <w:t>контроле техсостояния будут проставлять в путевом листе водителя, который первым выезжает с парковки. Документ вступил в силу 1 марта.</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 xml:space="preserve">С 21 декабря прошлого года юрлица и ИП, осуществляющие коммерческие перевозки и перевозки для собственных нужд, должны обеспечивать стоянку транспортных средств по возвращении из рейса и окончании смены водителя на парковках (ч. 2 ст. 20 Федерального закона от 10 декабря 1995 г. № 196-ФЗ "О безопасности дорожного движения"). </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 xml:space="preserve">ГАРАНТ.РУ: </w:t>
      </w:r>
      <w:hyperlink r:id="rId14" w:anchor="ixzz5gOuksNXG" w:history="1">
        <w:r>
          <w:rPr>
            <w:rStyle w:val="a3"/>
            <w:rFonts w:ascii="Times New Roman" w:hAnsi="Times New Roman" w:cs="Times New Roman"/>
            <w:sz w:val="24"/>
            <w:szCs w:val="24"/>
          </w:rPr>
          <w:t>http://www.garant.ru/news/1259566/#ixzz5gOuksNXG</w:t>
        </w:r>
      </w:hyperlink>
    </w:p>
    <w:p w:rsidR="00BD5B78" w:rsidRDefault="00BD5B78" w:rsidP="00BD5B78">
      <w:pPr>
        <w:jc w:val="both"/>
        <w:rPr>
          <w:rFonts w:ascii="Times New Roman" w:hAnsi="Times New Roman" w:cs="Times New Roman"/>
          <w:sz w:val="24"/>
          <w:szCs w:val="24"/>
        </w:rPr>
      </w:pPr>
    </w:p>
    <w:p w:rsidR="00BD5B78" w:rsidRDefault="00BD5B78" w:rsidP="00BD5B78">
      <w:pPr>
        <w:jc w:val="both"/>
        <w:rPr>
          <w:rFonts w:ascii="Times New Roman" w:hAnsi="Times New Roman" w:cs="Times New Roman"/>
          <w:b/>
          <w:bCs/>
          <w:color w:val="7030A0"/>
          <w:sz w:val="24"/>
          <w:szCs w:val="24"/>
          <w:u w:val="single"/>
        </w:rPr>
      </w:pPr>
      <w:r>
        <w:rPr>
          <w:rFonts w:ascii="Times New Roman" w:hAnsi="Times New Roman" w:cs="Times New Roman"/>
          <w:b/>
          <w:bCs/>
          <w:color w:val="7030A0"/>
          <w:sz w:val="24"/>
          <w:szCs w:val="24"/>
          <w:u w:val="single"/>
        </w:rPr>
        <w:t>Не исключено, что в день увольнения в связи с ликвидацией организации работникам будет выплачиваться двукратный среднемесячный заработок</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18 февраля 2019</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 xml:space="preserve">Минтруд России предлагает скорректировать положения Трудового кодекса о гарантиях при увольнении в связи с ликвидацией организации. В соответствии с разработанным министерством законопроектом при расторжении трудового договора в связи с ликвидацией организации увольняемому работнику будет выплачиваться выходное пособие в размере двукратного среднего заработка. В настоящий момент увольняемому по такому основанию сотруднику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 </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 xml:space="preserve">А может быть установлено правило, согласно которому в исключительных случаях средний месячный заработок будет сохраняться за уволенным работником в связи с ликвидацией организации, либо сокращением численности или штата работников организации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туда и не был им трудоустроен. </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В случае принятия поправки в ТК РФ вступят в силу по истечении 30 дней после дня официального опубликования соответствующего федерального закона.</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 xml:space="preserve">Планируется внести корреспондирующее дополнение в абз. 3 п. 1 ст. 64 Гражданского кодекса. В соответствии с ним при ликвидации юрлица после погашения текущих расходов, необходимых для осуществления ликвидации, во вторую очередь будут также производиться расчеты по выплате выходных пособий и оплате труда лиц, за которыми сохраняется средний месячный заработок на период трудоустройства в соответствии с действующим трудовым законодательством. Сейчас во вторую очередь соответствующие выплаты производятся работающим или работавшим по трудовому договору, и в нее же перечисляются вознаграждения авторам результатов интеллектуальной деятельности. </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Законопроекты были разработаны во исполнение Постановления Конституционного Суда Российской Федерации от 19 декабря 2018 года № 45-П. Указанным постановлением действующие положения ТК РФ о гарантиях при увольнении в связи с ликвидацией организации были признаны противоречащими Конституции РФ.</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Публичное обсуждение и независимая антикоррупционная экспертиза законопроектов завершатся 7 марта.</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 xml:space="preserve">ГАРАНТ.РУ: </w:t>
      </w:r>
      <w:hyperlink r:id="rId15" w:anchor="ixzz5gUId4ocH" w:history="1">
        <w:r>
          <w:rPr>
            <w:rStyle w:val="a3"/>
            <w:rFonts w:ascii="Times New Roman" w:hAnsi="Times New Roman" w:cs="Times New Roman"/>
            <w:sz w:val="24"/>
            <w:szCs w:val="24"/>
          </w:rPr>
          <w:t>http://www.garant.ru/news/1259223/#ixzz5gUId4ocH</w:t>
        </w:r>
      </w:hyperlink>
    </w:p>
    <w:p w:rsidR="00BD5B78" w:rsidRDefault="00BD5B78" w:rsidP="00BD5B78">
      <w:pPr>
        <w:jc w:val="both"/>
        <w:rPr>
          <w:rFonts w:ascii="Times New Roman" w:hAnsi="Times New Roman" w:cs="Times New Roman"/>
          <w:sz w:val="24"/>
          <w:szCs w:val="24"/>
        </w:rPr>
      </w:pPr>
    </w:p>
    <w:p w:rsidR="00BD5B78" w:rsidRDefault="00BD5B78" w:rsidP="00BD5B78">
      <w:pPr>
        <w:jc w:val="both"/>
        <w:rPr>
          <w:rFonts w:ascii="Times New Roman" w:hAnsi="Times New Roman" w:cs="Times New Roman"/>
          <w:b/>
          <w:bCs/>
          <w:color w:val="7030A0"/>
          <w:sz w:val="24"/>
          <w:szCs w:val="24"/>
          <w:u w:val="single"/>
        </w:rPr>
      </w:pPr>
      <w:r>
        <w:rPr>
          <w:rFonts w:ascii="Times New Roman" w:hAnsi="Times New Roman" w:cs="Times New Roman"/>
          <w:b/>
          <w:bCs/>
          <w:color w:val="7030A0"/>
          <w:sz w:val="24"/>
          <w:szCs w:val="24"/>
          <w:u w:val="single"/>
        </w:rPr>
        <w:t>ФСС России требует сокращать рабочее время для сохранения пособия по уходу за ребенком более чем вполовину</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18 февраля 2019</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 xml:space="preserve">Статья 256 Трудового кодекса предоставляет право во время нахождения в отпуске по уходу за ребенком работать на условиях неполного рабочего времени с сохранением права на получение пособия по государственному социальному страхованию. Закон не устанавливает максимальной продолжительности неполного рабочего времени, при которой за работником сохраняется право на ежемесячное пособие. В связи с этим вопрос </w:t>
      </w:r>
      <w:r>
        <w:rPr>
          <w:rFonts w:ascii="Times New Roman" w:hAnsi="Times New Roman" w:cs="Times New Roman"/>
          <w:sz w:val="24"/>
          <w:szCs w:val="24"/>
        </w:rPr>
        <w:lastRenderedPageBreak/>
        <w:t>о минимально допустимом сокращении рабочего времени с целью сохранения права на пособие по уходу за ребенком, вызывает многочисленные споры (информация по вопросу сохранения права на получение ежемесячного пособия по уходу за ребенком в случае выхода на работу на условиях неполного рабочего времени).</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Вологодское отделение ФСС России сформулировало, пожалуй, самый жесткий за последнее время подход к решению данного вопроса. В подготовленной специалистами отделения информации указывается, что большая часть времени лица, находящегося в отпуске по уходу за ребенком и работающего на условиях неполного рабочего времени, должна быть посвящена уходу за этим ребенком, а не трудовой деятельности. Таким образом, для сохранения права работника на получение ежемесячного пособия по уходу за ребенком время ухода за ним должно занимать большую часть рабочего времени, что предполагает его соответствующее сокращение по сравнению с установленной нормальной продолжительностью.</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В арбитражной практике последних лет уже достаточно примеров, когда суды признавали противоправной выплату работникам пособия за счет средств ФСС России при условии незначительного (от нескольких минут до часа в неделю) сокращения продолжительности их рабочего времени.</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 xml:space="preserve">Чем более значительным является сокращение рабочего времени, тем более спорным становится вопрос о том, достаточно ли его для сохранения пособия. ФСС России в письме от 19 января 2018 г. № 02-08-01/17-04-13832л отмечает, что сокращение рабочего времени в том числе и на 1 час в день не может расцениваться как мера, позволяющая продолжать осуществлять уход за ребенком, повлекшая утрату заработка. </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Есть мнение, что неполное рабочее время работника, находящегося в отпуске по уходу за ребенком, не может превышать 60% нормы. Данная позиция, очевидно, основывается на том, что пособие по уходу за ребенком компенсирует работнику утрату 40% его среднего заработка. Выходя на работу на условиях неполного рабочего времени, работник не должен получать более 60% своего обычного заработка, иначе выплата пособия приобретает характер уже не компенсации утраченного в связи с необходимостью осуществления ухода за ребенком заработка, а дополнительного материального стимулирования. Некоторые суды при оценке правомерности сохранения за работником пособия по уходу за ребенком после его выхода на работу на неполный день также пользуются методикой сравнения утраченного работником в связи с установлением неполного рабочего времени заработка с размером пособия.</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 xml:space="preserve">ГАРАНТ.РУ: </w:t>
      </w:r>
      <w:hyperlink r:id="rId16" w:anchor="ixzz5gTZmyAzG" w:history="1">
        <w:r>
          <w:rPr>
            <w:rStyle w:val="a3"/>
            <w:rFonts w:ascii="Times New Roman" w:hAnsi="Times New Roman" w:cs="Times New Roman"/>
            <w:sz w:val="24"/>
            <w:szCs w:val="24"/>
          </w:rPr>
          <w:t>http://www.garant.ru/news/1259383/#ixzz5gTZmyAzG</w:t>
        </w:r>
      </w:hyperlink>
    </w:p>
    <w:p w:rsidR="00BD5B78" w:rsidRDefault="00BD5B78" w:rsidP="00BD5B78">
      <w:pPr>
        <w:jc w:val="both"/>
        <w:rPr>
          <w:rFonts w:ascii="Times New Roman" w:hAnsi="Times New Roman" w:cs="Times New Roman"/>
          <w:sz w:val="24"/>
          <w:szCs w:val="24"/>
        </w:rPr>
      </w:pPr>
    </w:p>
    <w:p w:rsidR="00BD5B78" w:rsidRDefault="00BD5B78" w:rsidP="00BD5B78">
      <w:pPr>
        <w:jc w:val="both"/>
        <w:rPr>
          <w:rFonts w:ascii="Times New Roman" w:hAnsi="Times New Roman" w:cs="Times New Roman"/>
          <w:b/>
          <w:bCs/>
          <w:color w:val="7030A0"/>
          <w:sz w:val="24"/>
          <w:szCs w:val="24"/>
          <w:u w:val="single"/>
        </w:rPr>
      </w:pPr>
      <w:r>
        <w:rPr>
          <w:rFonts w:ascii="Times New Roman" w:hAnsi="Times New Roman" w:cs="Times New Roman"/>
          <w:b/>
          <w:bCs/>
          <w:color w:val="7030A0"/>
          <w:sz w:val="24"/>
          <w:szCs w:val="24"/>
          <w:u w:val="single"/>
        </w:rPr>
        <w:t>ФНП разъяснила нотариусам, как применять нововведения, касающиеся подачи документов для госрегистрации прав в Росреестр</w:t>
      </w:r>
    </w:p>
    <w:p w:rsidR="00BD5B78" w:rsidRDefault="00BD5B78" w:rsidP="00BD5B78">
      <w:pPr>
        <w:jc w:val="both"/>
        <w:rPr>
          <w:rFonts w:ascii="Times New Roman" w:hAnsi="Times New Roman" w:cs="Times New Roman"/>
          <w:b/>
          <w:bCs/>
          <w:color w:val="7030A0"/>
          <w:sz w:val="24"/>
          <w:szCs w:val="24"/>
          <w:u w:val="single"/>
        </w:rPr>
      </w:pPr>
      <w:r>
        <w:rPr>
          <w:rFonts w:ascii="Times New Roman" w:hAnsi="Times New Roman" w:cs="Times New Roman"/>
          <w:b/>
          <w:bCs/>
          <w:color w:val="7030A0"/>
          <w:sz w:val="24"/>
          <w:szCs w:val="24"/>
          <w:u w:val="single"/>
        </w:rPr>
        <w:t>18 февраля 2019</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Федеральная нотариальная палата высказала свою позицию по ряду вопросов, касающихся обязанности нотариуса представлять в электронной форме заявления о государственной регистрации прав и прилагаемые к нему документы в Росреестр. Изменения в Основы законодательства Российской Федерации о нотариате от 11 февраля 1993 г. № 4462-I (далее–Основы законодательства о нотариате) вступили в силу 1 февраля 2019 года (Федеральный закон от 3 августа 2018 г. № 338-ФЗ).</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Из содержащихся в письме разъяснений:</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1. С 1 февраля 2019 года после удостоверения договора, на основании которого возникает право на недвижимое имущество (долю в праве собственности на недвижимое имущество), подлежащее государственной регистрации, нотариус обязан незамедлительно, но не позднее окончания рабочего дня или в сроки, установленные сторонами в договоре, представить в электронной форме заявление о государственной регистрации прав и прилагаемые к нему документы в Росреестр, если стороны сделки не возражают против подачи такого заявления нотариусом.</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этом законодательством не определены требования к способам фиксирования возражений сторон сделки на представление нотариусом документов в орган регистрации прав. </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2. К договорам, на основании которых возникает право на недвижимое имущество, относятся, в частности, договоры купли-продажи, дарения, залога недвижимого имущества (ипотеки).</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Вместе с тем нотариус вправе по просьбе обратившихся к нему лиц направить документы на государственную регистрацию прав и при удостоверении иных видов договоров, например, брачного договора, соглашения о разделе совместно нажитого имущества супругов.</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Направление документов на госрегистрацию прав не является обязанностью нотариуса и не является самостоятельным нотариальным действием.</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3. А вот представление в электронной форме заявления о государственной регистрации прав и прилагаемых к нему документов в Росреестр после выдачи свидетельств о праве на наследство по закону, по завещанию, о праве собственности на долю в общем имуществе супругов (незамедлительно, но не позднее окончания рабочего дня) – это исключительная обязанность нотариуса (абз. 3 ст. 72 Основ законодательства о нотариате).</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После выдачи указанных свидетельств у лиц, обратившихся за совершением таких нотариальных действий, нет возможности самостоятельно подать документы на государственную регистрацию прав.</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4. Закон устанавливает приоритетность направления нотариусом необходимых документов в орган регистрации прав в электронной форме и лишь при невозможности их направления в такой форме устанавливает дополнительное полномочие нотариуса по представлению их в Росреестр на бумаге (по общему правилу в срок не позднее 2 рабочих дней).</w:t>
      </w:r>
    </w:p>
    <w:p w:rsidR="00BD5B78" w:rsidRDefault="00BD5B78" w:rsidP="00BD5B78">
      <w:pPr>
        <w:jc w:val="both"/>
        <w:rPr>
          <w:rFonts w:ascii="Times New Roman" w:hAnsi="Times New Roman" w:cs="Times New Roman"/>
          <w:sz w:val="24"/>
          <w:szCs w:val="24"/>
        </w:rPr>
      </w:pPr>
      <w:r>
        <w:rPr>
          <w:rFonts w:ascii="Times New Roman" w:hAnsi="Times New Roman" w:cs="Times New Roman"/>
          <w:sz w:val="24"/>
          <w:szCs w:val="24"/>
        </w:rPr>
        <w:t xml:space="preserve">ГАРАНТ.РУ: </w:t>
      </w:r>
      <w:hyperlink r:id="rId17" w:anchor="ixzz5gTybyHRY" w:history="1">
        <w:r>
          <w:rPr>
            <w:rStyle w:val="a3"/>
            <w:rFonts w:ascii="Times New Roman" w:hAnsi="Times New Roman" w:cs="Times New Roman"/>
            <w:sz w:val="24"/>
            <w:szCs w:val="24"/>
          </w:rPr>
          <w:t>http://www.garant.ru/news/1259291/#ixzz5gTybyHRY</w:t>
        </w:r>
      </w:hyperlink>
    </w:p>
    <w:p w:rsidR="00A97B47" w:rsidRDefault="00A97B47">
      <w:bookmarkStart w:id="0" w:name="_GoBack"/>
      <w:bookmarkEnd w:id="0"/>
    </w:p>
    <w:sectPr w:rsidR="00A97B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171AF"/>
    <w:multiLevelType w:val="hybridMultilevel"/>
    <w:tmpl w:val="31A4D27C"/>
    <w:lvl w:ilvl="0" w:tplc="545A5696">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018"/>
    <w:rsid w:val="00582018"/>
    <w:rsid w:val="00A97B47"/>
    <w:rsid w:val="00BD5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99859-456D-41B1-9501-8A1A0C4B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B78"/>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D5B7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50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news/1259722/" TargetMode="External"/><Relationship Id="rId13" Type="http://schemas.openxmlformats.org/officeDocument/2006/relationships/hyperlink" Target="http://www.garant.ru/news/125942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ant.ru/news/1260130/" TargetMode="External"/><Relationship Id="rId12" Type="http://schemas.openxmlformats.org/officeDocument/2006/relationships/hyperlink" Target="http://www.garant.ru/news/1259461/" TargetMode="External"/><Relationship Id="rId17" Type="http://schemas.openxmlformats.org/officeDocument/2006/relationships/hyperlink" Target="http://www.garant.ru/news/1259291/" TargetMode="External"/><Relationship Id="rId2" Type="http://schemas.openxmlformats.org/officeDocument/2006/relationships/styles" Target="styles.xml"/><Relationship Id="rId16" Type="http://schemas.openxmlformats.org/officeDocument/2006/relationships/hyperlink" Target="http://www.garant.ru/news/1259383/" TargetMode="External"/><Relationship Id="rId1" Type="http://schemas.openxmlformats.org/officeDocument/2006/relationships/numbering" Target="numbering.xml"/><Relationship Id="rId6" Type="http://schemas.openxmlformats.org/officeDocument/2006/relationships/hyperlink" Target="http://www.garant.ru/news/1260133/" TargetMode="External"/><Relationship Id="rId11" Type="http://schemas.openxmlformats.org/officeDocument/2006/relationships/hyperlink" Target="http://www.garant.ru/news/1259588/" TargetMode="External"/><Relationship Id="rId5" Type="http://schemas.openxmlformats.org/officeDocument/2006/relationships/hyperlink" Target="http://www.garant.ru/news/1260301/" TargetMode="External"/><Relationship Id="rId15" Type="http://schemas.openxmlformats.org/officeDocument/2006/relationships/hyperlink" Target="http://www.garant.ru/news/1259223/" TargetMode="External"/><Relationship Id="rId10" Type="http://schemas.openxmlformats.org/officeDocument/2006/relationships/hyperlink" Target="http://www.garant.ru/news/125960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arant.ru/news/1260095/" TargetMode="External"/><Relationship Id="rId14" Type="http://schemas.openxmlformats.org/officeDocument/2006/relationships/hyperlink" Target="http://www.garant.ru/news/12595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4037</Words>
  <Characters>23014</Characters>
  <Application>Microsoft Office Word</Application>
  <DocSecurity>0</DocSecurity>
  <Lines>191</Lines>
  <Paragraphs>53</Paragraphs>
  <ScaleCrop>false</ScaleCrop>
  <Company/>
  <LinksUpToDate>false</LinksUpToDate>
  <CharactersWithSpaces>26998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ZhaboMA</dc:creator>
  <cp:keywords/>
  <dc:description/>
  <cp:lastModifiedBy>ZhaboMA</cp:lastModifiedBy>
  <cp:revision>3</cp:revision>
  <dcterms:created xsi:type="dcterms:W3CDTF">2019-02-26T06:16:00Z</dcterms:created>
  <dcterms:modified xsi:type="dcterms:W3CDTF">2019-02-26T06:16:00Z</dcterms:modified>
</cp:coreProperties>
</file>