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Налоговики разъяснили, с какого момента инспекция может применять новые нормы НК РФ при доказывании налоговых злоупотреблений</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3 августа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С 19 августа 2017 года действуют поправки к Налоговый кодекс о мерах борьбы с получением необоснованной налоговой выгоды.</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ФНС России обобщила судебную практику Верховного Суда Российской Федерации по вопросу применения НК РФ в отношении камеральных налоговых проверок налоговых деклараций (расчетов), представленных в налоговый орган до вступления в силу указанных поправок (Письмо Федеральной налоговой службы от 5 июля 2018 г. № СА-4-7/12933@). Речь также идет о выездных налоговых проверках и проверках полноты исчисления и уплаты налогов в связи с совершением сделок между взаимозависимыми лицами.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Сообщается, что позиция ФНС России о недопустимости применения поправок при оспаривании решений налоговых органов по результатам проверок, начатых до вступления в силу изменений, поддержана арбитражными судами всех округов, а также ВС РФ. Приведен перечень соответствующих судебных решений.</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http://www.garant.ru/news/1210981/#ixzz5NLHH0QYV</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Минтруд России: выплата премии работнику может быть поставлена в зависимость от отсутствия у него дисциплинарных взысканий</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3 августа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Минтруд России высказался по вопросу о возможности лишения работника премии в случае привлечения его к дисциплинарной ответственности (Письмо Министерства труда РФ от 14 марта 2018 г. № 14-1/ООГ-1874). Как указали специалисты ведомства, в положении о премировании работников в качестве основания лишения или уменьшения премии может быть определено наличие дисциплинарного взыскания. Данный вывод чиновников соответствует сложившейся судебной практике. В Определении Кассационной коллегии Верховного Суда РФ от 7 апреля 2005 г. № КАС05-126 Верховный Суд Российской Федерации заключил, что установление зависимости права на премию от надлежащего выполнения трудовых обязанностей и невыплата премии в случае невыполнения подобного условия премирования не являются нарушением прав работника.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В трудовом законодательстве порядок оформления лишения или снижения премии не установлен. Сама система премирования регулируется на уровне локальных нормативных актов, лишение или снижение премии тоже должно опираться на положения соответствующих локальных актов, поэтому в приказе о премировании не требуется указывать данные о том, на каком основании конкретному работнику не начислена премия или снижен ее размер.</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http://www.garant.ru/news/1210979/#ixzz5NNLCw9QL</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Разъяснено, какие услуги в области физической культуры не облагаются НДС</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3 августа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Услуги, оказываемые населению по организации и проведению физкультурных мероприятий на территории образовательного учреждения, в том числе на основании договоров с заказчиками-юрлицами, освобождаются от НДС. К услугам по организации и проведению физкультурных мероприятий, оказанными населению могут относиться услуги по проведению организованных занятий граждан физической культурой в целях физического и интеллектуального развития способностей человека, социальной адаптации путем физического воспитания, совершенствования его двигательной активности и формирования здорового образа жизни, физической подготовки и физического развития. Данные разъяснения содержится в письме Департамента налоговой и таможенной политики Минфина России от 25 июля 2018 г. № 03-07-11/52210 "О применении НДС в отношении услуг, оказываемых населению по организации и проведению физкультурных мероприятий на территории образовательного учреждения на основании договоров с заказчиками-юридическими лицами".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В Налоговом кодексе не предусмотрено понятие вышеуказанных услуг, а также перечень услуг, в отношении которых может применяться указанное освобождение (абз. 6 подп. 14.1 п. 2 ст. 149 НК РФ).</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Отметим, что вывод финансистов о том, какие именно услуги можно отнести к услугам по организации и проведению физкультурных мероприятий, основан на положениях действующего законодательства (п. 26 ст. 2, п. 29 ст. 2 Федерального закона от 4 декабря 2007 г. № 329-ФЗ "О физической культуре и спорте в Российской Федерации").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lastRenderedPageBreak/>
        <w:t>ГАРАНТ.РУ: http://www.garant.ru/news/1211102/#ixzz5NLJRKnJg</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Микрофинансовые организации будут представлять в Банк России стратегические и бизнес-планы</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3 августа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Такое положение содержится в консультативном докладе регулятора, посвященном совершенствованию регулирования деятельности субъектов микрофинансового рынка. Планируется повысить регулятивные требования в отношении микрофинансовых компаний (МФК), а также крупных кредитных потребительских кооперативов (КПК) и сельскохозяйственных кредитных потребительских кооперативов (СКПК), имеющих в составе более 3 тыс. пайщиков, им нужно будет составлять новый стратегический план на трехлетний период до истечения предыдущего. Чтобы быть допущенными на рынок, КПК и СКПК нужно будет представлять Банку России стратегические планы, а МФО – бизнес-планы. Ожидается, что МФК будут представлять Банку России бизнес-план каждые три года, а также вне срока, если предполагается изменять набор предполагаемых услуг.</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Также КПК и МФО будут разрабатывать "продуктовую стратегию", в которую войдет информация об объеме и способе предоставления услуги, ее стоимости, целевой аудитории потребителей, возможных рисках и мерах по защите прав потребителей. Ее нужно будет согласовывать с Банком до предоставления новых финансовых услуг.</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С 28 января текущего года в отношении деловой репутации и финансового положения учредителей, органов управления и должностных лиц МФК применяются новые требования. Лицо назначается (избирается)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МФК, руководителя или главного бухгалтера филиала МФК с предварительного согласия Банка России. По мнению регулятора, такое согласование для микрокредитных компаний целесообразно отменить.</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Однако для МФК, крупных КПК/СКПК Банк России предлагает ввести требования по контролю размера вознаграждения, выплачиваемого высшему менеджменту, другим ключевым сотрудникам, принимающим риски при осуществлении деятельности, а также обеспечению соответствия этих вознаграждений политике и стратегии организации.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http://www.garant.ru/news/1210977/#ixzz5NNNRXxgm</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КС РФ: прекращение уголовного преследования совершившего хищение работника в связи с его раскаянием не дает основания для его увольнения</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2 августа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Общество с ограниченной ответственностью обратилось в Конституционный суд Российской Федерации с требованием о признании неконституционным подп. "г" п. 6 ч. 1 ст. 81 Трудового кодекса (Определение Конституционного Суда РФ от 28 июня 2018 г. № 1457-О). Данной нормой установлено такое основание прекращения трудового договора по инициативе работодателя, как совершение работником по месту работы хищения (включая мелкое)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Общество полагало данное законоположение противоречащим Конституции РФ, поскольку оно, закрепляя, что вина лица в совершенном преступлении устанавливается только вступившим в законную силу приговором суда и не может быть установлена иным, вынесенным по нереабилитирующим основаниям, судебным актом, в частности постановлением о прекращении уголовного дела в связи с деятельным раскаянием, не позволяет расторгнуть трудовой договор с работником по причине совершения им по месту работы хищения, факт которого установлен таким постановлением, вступившим в законную силу.</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 xml:space="preserve">Обращению общества в Конституционный суд РФ предшествовало разбирательство в суде общей юрисдикции, по итогам которого суд признал незаконным увольнение по подп. "г" п. 6 ч. 1 ст. 81 ТК РФ работника, совершившего хищение по месту работы (апелляционное определение СК по гражданским делам Иркутского областного суда от 9 ноября 2017 г. по делу № 33-10165/2017). Уголовное дело в отношении работника было прекращено в связи с его деятельным раскаянием. Работодатель полагал, что тем самым была установлена вина работника в совершенном преступлении и это давало ему основание для увольнения. Однако суд с таким подходом не согласился. Отметим, что аналогичные прецеденты имели место в судебной практике и ранее </w:t>
      </w:r>
      <w:r w:rsidRPr="00296FC0">
        <w:rPr>
          <w:rFonts w:ascii="Times New Roman" w:eastAsia="Times New Roman" w:hAnsi="Times New Roman" w:cs="Times New Roman"/>
          <w:color w:val="2F2F2F"/>
          <w:sz w:val="24"/>
          <w:szCs w:val="24"/>
        </w:rPr>
        <w:lastRenderedPageBreak/>
        <w:t>(апелляционное определение СК по гражданским делам Свердловского областного суда от 08 ноября 2012 г. по делу № 33-13117/2012). Однако встречались и примеры признания увольнения на основании постановления о прекращении уголовного дела в связи с деятельным раскаянием законным (апелляционное определение СК по гражданским делам Хабаровского краевого суда от 11 января 2018 г. по делу № 33-53/2018).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Конституционный Суд РФ, в свою очередь, не нашел оснований для принятия жалобы общества к рассмотрению. Суд указал, что содержащееся в подп. "г" п. 6 ч. 1 ст. 81 ТК РФ правовое регулирование, не позволяющее расторгнуть с работником трудовой договор иначе как в случае установления факта хищения (уголовно наказуемого) и вины работника в его совершении приговором суда, учитывает то обстоятельство, что решение о прекращении уголовного дела по нереабилитирующим основаниям не подменяет собой приговор суда и, следовательно, не является актом, которым устанавливается виновность в том смысле, как это предусмотрено ст. 49 Конституции РФ; в соответствующем решении не могут быть разрешены те вопросы, которые подлежат разрешению исключительно судом при вынесении приговора, в том числе о возможности признания деяния, инкриминируемого лицу, подвергнутому уголовному преследованию, преступлением, а также о виновности этого лица в совершении данного преступления. Названная норма направлена на соблюдение баланса интересов сторон трудового договора, гарантирует надлежащую защиту прав и законных интересов работника как экономически более слабой стороны в трудовом правоотношении и не может расцениваться в качестве нарушающей права заявителя, который не лишен возможности применить к работнику иные виды дисциплинарных взысканий в порядке и сроки, предусмотренные трудовым законодательством.</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Тем самым КС РФ фактически подтвердил верность точки зрения о невозможности увольнения работника по подп. "г" п. 6 ч. 1 ст. 81 ТК РФ на основании постановления о прекращении уголовного дела в связи с деятельным раскаянием и по иным нереабилитирующим основаниям.</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http://www.garant.ru/news/1210801/#ixzz5NNQ3JQ7N</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Аудиозапись судебного заседания в гражданском процессе станет обязательной с 1 сентября</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1 августа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С 1 сентября 2019 года вводится обязательное аудиопротоколирование судебного заседания в гражданском процессе в судах первой и апелляционной инстанции; участвующие в деле лица и их представители будут вправе знакомиться с аудиозаписью и подавать на нее замечания (Федеральный закон от 29 июля 2018 г. № 265-ФЗ "О внесении изменений в отдельные законодательные акты Российской Федерации").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Внесены поправки в Арбитражный процессуальный кодекс, Гражданский процессуальный кодекс и Кодекс административного судопроизводства, согласно которым основным способом формирования состава суда станет использование автоматизированной информационной системы. Иной порядок формирования суда допускается только в случае невозможности функционирования в суде автоматизированной информационной системы. Про аналогичные изменения в Уголовно-процессуальный кодекс мы писали ранее.</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В КАС РФ и ГПК РФ закреплен процессуальный статус помощника судьи (по аналогии с АПК РФ), а также предусмотрена возможность перехода из предварительного судебного заседания в основное судебное заседание в случае отсутствия препятствующих этому обстоятельств.</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http://www.garant.ru/news/1210601/#ixzz5NNE952E6</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Правительственная комиссия по законопроектной деятельности одобрила инициативу проводить фото- и видеофиксацию техосмотра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1 августа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Кабмин поддержал три законопроекта, подготовленных Минэкономразвития России, и направленных на противодействие массовому оформлению диагностических карт без реального проведения процедуры технического осмотра транспортных средств. Документами планируется усилить административную ответственность для всех участников техосмотра. Об этом сообщается на официальном сайте Правительства РФ.</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 xml:space="preserve">Первым законопроектом предлагается проводить фото- и видеофиксацию процедуры техосмотра транспортного средства для достоверного установления факта проведения техосмотра. Также планируется, что диагностическую карту можно будет оформлять виде электронного документа, а к производственно-техническим базам пункта техосмотра установят требования, в частности, </w:t>
      </w:r>
      <w:r w:rsidRPr="00296FC0">
        <w:rPr>
          <w:rFonts w:ascii="Times New Roman" w:eastAsia="Times New Roman" w:hAnsi="Times New Roman" w:cs="Times New Roman"/>
          <w:color w:val="2F2F2F"/>
          <w:sz w:val="24"/>
          <w:szCs w:val="24"/>
        </w:rPr>
        <w:lastRenderedPageBreak/>
        <w:t>касающиеся пропускной способности пункта техосмотра. Она будет рассчитываться по специальной методике.</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Другим законопроектом предполагается усилить административную ответственность всех участников системы техосмотра и назначать наказание в виде дисквалификации. При этом на технических экспертов планируется распространять ответственность за оформление диагностической карты на допуск транспортного средства к участию в дорожном движении без фактического техосмотра. Также ожидается, что они будут нести ответственность и за передачу в единую автоматизированную информационную систему технического осмотра ложных сведений о проведении техосмотра.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Согласно третьему законопроекту, за проведение техосмотра без аккредитации оператора технического осмотра введут уголовную ответственность.</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http://www.garant.ru/news/1210758/#ixzz5NNY7BzPz</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Минтруд России хочет вывести отношения между не являющимися ИП физлицами и их работниками из-под регулирования трудовым законодательством</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31 июля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Минтруд России подготовил проект поправок в Трудовой кодекс, исключающий из него упоминание о физических лицах, не являющихся ИП, как о работодателе. В настоящее время в силу ст. 20 ТК РФ в качестве работодателей могут выступать в том числе физические лица, вступающие в трудовые отношения с работниками в целях личного обслуживания и помощи по ведению домашнего хозяйства.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Чиновники же предлагают указать, что трудовое законодательство и иные акты, содержащие нормы трудового права, не распространяются на таких лиц, а равно и на самозанятых граждан.</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Такая деятельность, как правило, все равно осуществляется без соответствующего оформления отношений, при этом фактически отсутствует надлежащий контроль за соблюдением трудового законодательства в отношении указанной категории лиц.</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http://www.garant.ru/news/1210458/#ixzz5NNTN1MLj</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Гарантия МРОТ распространяется и на трудящихся на условиях неполного рабочего времени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31 июля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Минтруд России ответил на вопрос о том, как соблюсти гарантию по выплате заработной платы в размере не менее МРОТ в отношении работников, занятых на условиях неполного рабочего времени.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В силу ст. 133 Трудового кодекса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При этом никакой аналогичной гарантии в отношении работников, не отрабатывающих норму рабочего времени, законодательство формально не устанавливает.</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В судебной практике уже давно сформировалась позиция, согласно которой работники с неполным рабочим временем имеют право на оплату труда не менее доли МРОТ, определенной пропорционально установленной им продолжительности рабочего времени (см., например, Апелляционное определение СК по гражданским делам Краснодарского краевого суда от 29 августа 2017 г. по делу № 33-26648/2017, апелляционное определение СК по гражданским делам Красноярского краевого суда от 2 марта 2015 г. № 33-1746/2015, апелляционное определение СК по гражданским делам Верховного Суда Республики Хакасия от 5 июня 2014 г. № 33-1228/2014, кассационное определение Верховного суда Республики Дагестан от 15 апреля 2011 г. № 33-1098/11, определение судебной коллегии по гражданским делам Владимирского областного суда от 19 июля 2011 г. № 33-2472/2011, кассационное определение СК Пензенского областного суда от 26 октября 2010 г. № 33-2875).</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Такую же точку зрения в рассматриваемом письме высказывает и Минтруд России. Чиновники указали, что при работе в режиме неполного рабочего времени при повременной (повременно-премиальной) системе оплаты труда заработная плата начисляется работнику пропорционально отработанному времени, но не ниже МРОТ в пересчете на полную месячную ставку.</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http://www.garant.ru/news/1210454/#ixzz5NNUE9rem</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Банк России разъяснил, кто может быть страхователем при оформлении электронного полиса ОСАГО</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lastRenderedPageBreak/>
        <w:t>30 июля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На основании системного анализа ст. 929 Гражданского кодекса, ст. 1 и ст. 4 Федерального закона от 25 апреля 2002 г. № 40-ФЗ "Об обязательном страховании гражданской ответственности владельцев транспортных средств" Банк России пришел к выводу, что в качестве страхователя по договору ОСАГО вправе выступать законный владелец транспортного средства либо иное лицо, имеющее имущественный интерес в страховании ответственности владельца (Письмо Банка России от 23 июля 2018 г. № ИН-06-53/49).</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Если договор ОСАГО заключается в электронной форме и страхователь не является собственником транспортного средства, такой страхователь, по мнению Банка России, должен быть указан в качестве лица, допущенного к управлению транспортным средством.</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http://www.garant.ru/news/1210145/#ixzz5NNGX6Tf1</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Роструд: издавать приказ о привлечении к сверхурочной работе необязательно</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30 июля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Специалисты Роструда представили на портале "Онлайнинспекция.РФ" свою позицию по вопросу о необходимости издания приказа для оформления привлечения работника к сверхурочной работе (Обзор актуальных вопросов от работников и работодателей за июнь 2018 года). Чиновники указывают, что издание такого приказа нормами действующего законодательства не предусмотрено.</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Действительно, в силу части первой ст. 99 Трудового кодекса сверхурочная работа выполняется по инициативе работодателя. При этом не уточняется, в какой форме такая инициатива должна быть выражена. Указания на данный факт встречаются и в судебной практике (решение Прокопьевского районного суда Кемеровской области от 15 апреля 2016 г. № 2-32/2016).</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Оформление инициативы работодателя именно письменным приказом является целесообразным в целях упорядочения документооборота, а также во избежание разногласий с работниками и контролирующими органами.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http://www.garant.ru/news/1210178/#ixzz5NNHbeXBN</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Подведены итоги весенней сессии Госдумы и Совета Федерации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30 июля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 xml:space="preserve">С января текущего года депутаты Госдумы рассмотрели 978 законопроектов. </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По словам Председателя Госдумы Вячеслава Володина, для законодательного обеспечения Послания Президента Федеральному Собранию принято 44 закона, хотя изначально планировалось, что их число составит 67. В связи с этим осенью планируется рассмотреть еще 18 законопроектов по этому направлению, причем пять инициатив ожидается получить от кабмина до конца текущего года.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В качестве наиболее важных инициатив из всех принятых выделены следующие:</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приравнивание МРОТ к размеру прожиточного минимума с 1 мая текущего года;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продление дачной амнистии до 1 марта 2020 года;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изменение порядка зачета времени содержания в СИЗО (инициатива поступила в Госдуму в июне 2008 года, а ее первое чтение прошло только в 2015 году) (Федеральный закон от 3 июля 2018 г. № 186-ФЗ "О внесении изменений в статью 72 Уголовного кодекса Российской Федерации");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освобождение от НДФЛ выплат в связи с рождением детей;</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обнуление госпошлины за регистрацию юрлиц и ИП через Интернет;</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установление административной ответственности за выдачу ссылок на запрещенные сайты для поисковиков и т. д.</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В ходе весенней сессии в Госдуме были представлены отчеты об итогах работы Правительства, Банка России, Счетной палаты и Уполномоченного по правам человека.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 xml:space="preserve">Председатель Совета Федерации Валентина Матвиенко отметила, что в рамках указанной сессии принято 343 федеральных закона, проведено 15 парламентских слушаний, а также более 50 "круглых столов". В качестве важнейших из принятых инициатив выделены закон о контрсанкциях и закон, расширяющий страхование банковских вкладов на микро- и малые предприятия. </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При этом Госдума отклонила инициативу приравнять сожительство к браку, а Совет Федерации только после повторного рассмотрения одобрил закон об увеличении общей продолжительности рекламы в телепрограммах в течение часа.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Палаты парламента вернутся к работе 27 августа уже в рамках осенней сессии.</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http://www.garant.ru/news/1210146/#ixzz5NNXURuSX</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Программа льготного автокредитования будет действовать до 2020 года</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30 июля 2018</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До указанной даты кредитные организации будут предоставлять скидку на уплату первоначального взноса по кредиту в размере 10% от стоимости приобретаемого автомобиля с последующим возмещением затрат из федерального бюджета (постановление Правительства РФ от 26 июля 2018 г. № 8701). При этом размер этой скидки в рамках социальных программ "Первый автомобиль" и "Семейный автомобиль" в Дальневосточном федеральном округе будет составлять до 25% от стоимости приобретаемого автомобиля. Ожидается, что льготное автокредитование в текущем году позволит реализовать 45 100 автомобилей, из которых 5800 – на Дальнем Востоке.</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Указанными субсидиями смогут воспользоваться российские граждане с водительским удостоверением:</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 имеющие двух или более несовершеннолетних детей либо до даты заключения кредитного договора не имели в собственности автомобиль;</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 не заключавшие в 2017 году кредитных договоров на приобретение автомобиля, что подтверждается кредитным отчетом, предоставляемым бюро кредитных историй;</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 обязующиеся не заключать в этом году других кредитных договоров на приобретение автомобиля, что подтверждается письменными заявлениями заемщиков, предоставляемыми в кредитную организацию.</w:t>
      </w:r>
    </w:p>
    <w:p w:rsidR="00296FC0" w:rsidRPr="00296FC0"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Скидки на кредиты как и в прошлом году будут действовать в отношении автомобилей, стоимостью не более 1,45 млн руб. При этом приобретаемые в текущем году автомобили должны быть новыми – произведенными в этом или прошлом году. В последнем случае паспорт транспортного средства должен быть выдан не ранее 1 декабря 2017 года. А срок действия кредитного договора не должен превышать 36 месяцев, если он заключен до 31 декабря прошлого года включительно.</w:t>
      </w:r>
    </w:p>
    <w:p w:rsidR="00AB4AB4" w:rsidRPr="00DD2796" w:rsidRDefault="00296FC0" w:rsidP="00296FC0">
      <w:pPr>
        <w:shd w:val="clear" w:color="auto" w:fill="FFFFFF"/>
        <w:spacing w:after="0" w:line="240" w:lineRule="auto"/>
        <w:rPr>
          <w:rFonts w:ascii="Times New Roman" w:eastAsia="Times New Roman" w:hAnsi="Times New Roman" w:cs="Times New Roman"/>
          <w:color w:val="2F2F2F"/>
          <w:sz w:val="24"/>
          <w:szCs w:val="24"/>
        </w:rPr>
      </w:pPr>
      <w:r w:rsidRPr="00296FC0">
        <w:rPr>
          <w:rFonts w:ascii="Times New Roman" w:eastAsia="Times New Roman" w:hAnsi="Times New Roman" w:cs="Times New Roman"/>
          <w:color w:val="2F2F2F"/>
          <w:sz w:val="24"/>
          <w:szCs w:val="24"/>
        </w:rPr>
        <w:t>ГАРАНТ.РУ: http://www.garant.ru/news/1209816/#ixzz5NNZR0XWR</w:t>
      </w:r>
      <w:bookmarkStart w:id="0" w:name="_GoBack"/>
      <w:bookmarkEnd w:id="0"/>
    </w:p>
    <w:sectPr w:rsidR="00AB4AB4" w:rsidRPr="00DD2796" w:rsidSect="00AF557B">
      <w:pgSz w:w="11906" w:h="16838"/>
      <w:pgMar w:top="510" w:right="62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E89"/>
    <w:multiLevelType w:val="multilevel"/>
    <w:tmpl w:val="2EA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C562E"/>
    <w:multiLevelType w:val="hybridMultilevel"/>
    <w:tmpl w:val="4F468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B5046A"/>
    <w:multiLevelType w:val="hybridMultilevel"/>
    <w:tmpl w:val="E44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734812"/>
    <w:multiLevelType w:val="hybridMultilevel"/>
    <w:tmpl w:val="62BC20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65C464D6"/>
    <w:multiLevelType w:val="multilevel"/>
    <w:tmpl w:val="F2F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8314D"/>
    <w:multiLevelType w:val="hybridMultilevel"/>
    <w:tmpl w:val="B0AA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523598"/>
    <w:multiLevelType w:val="hybridMultilevel"/>
    <w:tmpl w:val="B25C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C2"/>
    <w:rsid w:val="00004E2A"/>
    <w:rsid w:val="0001611C"/>
    <w:rsid w:val="000409AD"/>
    <w:rsid w:val="00044CE1"/>
    <w:rsid w:val="000575BB"/>
    <w:rsid w:val="00064A93"/>
    <w:rsid w:val="00071F4E"/>
    <w:rsid w:val="00097C31"/>
    <w:rsid w:val="000B4283"/>
    <w:rsid w:val="000D28AD"/>
    <w:rsid w:val="000E4469"/>
    <w:rsid w:val="001170DC"/>
    <w:rsid w:val="001171B9"/>
    <w:rsid w:val="001344B7"/>
    <w:rsid w:val="001516A7"/>
    <w:rsid w:val="00173878"/>
    <w:rsid w:val="00175DD8"/>
    <w:rsid w:val="00181A92"/>
    <w:rsid w:val="001E05EB"/>
    <w:rsid w:val="001F7D76"/>
    <w:rsid w:val="002277E9"/>
    <w:rsid w:val="00232B2B"/>
    <w:rsid w:val="00246221"/>
    <w:rsid w:val="00247BC5"/>
    <w:rsid w:val="00255AF6"/>
    <w:rsid w:val="00261FFA"/>
    <w:rsid w:val="00296FC0"/>
    <w:rsid w:val="002A4539"/>
    <w:rsid w:val="002A5245"/>
    <w:rsid w:val="002A6096"/>
    <w:rsid w:val="002B0A9C"/>
    <w:rsid w:val="002C1CFD"/>
    <w:rsid w:val="002C5980"/>
    <w:rsid w:val="002D46BF"/>
    <w:rsid w:val="00303630"/>
    <w:rsid w:val="00311E4A"/>
    <w:rsid w:val="0032193F"/>
    <w:rsid w:val="00343B56"/>
    <w:rsid w:val="00350DCA"/>
    <w:rsid w:val="003537FB"/>
    <w:rsid w:val="003543E8"/>
    <w:rsid w:val="003603C5"/>
    <w:rsid w:val="00362527"/>
    <w:rsid w:val="003939BA"/>
    <w:rsid w:val="003C5371"/>
    <w:rsid w:val="003E7FF6"/>
    <w:rsid w:val="003F1EBB"/>
    <w:rsid w:val="0041277D"/>
    <w:rsid w:val="004162E3"/>
    <w:rsid w:val="0042301D"/>
    <w:rsid w:val="00462152"/>
    <w:rsid w:val="00485A72"/>
    <w:rsid w:val="004928B9"/>
    <w:rsid w:val="004963C3"/>
    <w:rsid w:val="004A360E"/>
    <w:rsid w:val="00502475"/>
    <w:rsid w:val="00524672"/>
    <w:rsid w:val="00543FFE"/>
    <w:rsid w:val="00551F05"/>
    <w:rsid w:val="00565C22"/>
    <w:rsid w:val="005904D1"/>
    <w:rsid w:val="00590F68"/>
    <w:rsid w:val="005A0357"/>
    <w:rsid w:val="005D22A3"/>
    <w:rsid w:val="005D45EA"/>
    <w:rsid w:val="005F3A07"/>
    <w:rsid w:val="00607E1C"/>
    <w:rsid w:val="00622C48"/>
    <w:rsid w:val="00637E41"/>
    <w:rsid w:val="006610DB"/>
    <w:rsid w:val="006664F9"/>
    <w:rsid w:val="00677F70"/>
    <w:rsid w:val="006A1185"/>
    <w:rsid w:val="00701D38"/>
    <w:rsid w:val="00706BDB"/>
    <w:rsid w:val="00716986"/>
    <w:rsid w:val="00736F51"/>
    <w:rsid w:val="00737540"/>
    <w:rsid w:val="0074682F"/>
    <w:rsid w:val="00754E21"/>
    <w:rsid w:val="00754FA4"/>
    <w:rsid w:val="0076318A"/>
    <w:rsid w:val="00786489"/>
    <w:rsid w:val="007A0E08"/>
    <w:rsid w:val="007A12FF"/>
    <w:rsid w:val="007B3268"/>
    <w:rsid w:val="007B33D1"/>
    <w:rsid w:val="007F4F36"/>
    <w:rsid w:val="008171A7"/>
    <w:rsid w:val="00817B0B"/>
    <w:rsid w:val="00844755"/>
    <w:rsid w:val="00850F1C"/>
    <w:rsid w:val="00870621"/>
    <w:rsid w:val="00870EC8"/>
    <w:rsid w:val="008A1266"/>
    <w:rsid w:val="008B4EE9"/>
    <w:rsid w:val="008B536F"/>
    <w:rsid w:val="008C669B"/>
    <w:rsid w:val="008D7C9F"/>
    <w:rsid w:val="008E4651"/>
    <w:rsid w:val="009242A6"/>
    <w:rsid w:val="00947B41"/>
    <w:rsid w:val="0098221D"/>
    <w:rsid w:val="00990E6B"/>
    <w:rsid w:val="009A1A38"/>
    <w:rsid w:val="009B43A8"/>
    <w:rsid w:val="009C1DBB"/>
    <w:rsid w:val="009D56CA"/>
    <w:rsid w:val="009E2D00"/>
    <w:rsid w:val="009F498E"/>
    <w:rsid w:val="00A01EB4"/>
    <w:rsid w:val="00A05BC5"/>
    <w:rsid w:val="00A47B03"/>
    <w:rsid w:val="00A52B6B"/>
    <w:rsid w:val="00A63B2F"/>
    <w:rsid w:val="00AB4AB4"/>
    <w:rsid w:val="00AC3974"/>
    <w:rsid w:val="00AD06B8"/>
    <w:rsid w:val="00AD1B40"/>
    <w:rsid w:val="00AF1267"/>
    <w:rsid w:val="00AF4F0E"/>
    <w:rsid w:val="00AF557B"/>
    <w:rsid w:val="00B12DE7"/>
    <w:rsid w:val="00B23691"/>
    <w:rsid w:val="00B45E1A"/>
    <w:rsid w:val="00B56DFC"/>
    <w:rsid w:val="00B62B2D"/>
    <w:rsid w:val="00B6372F"/>
    <w:rsid w:val="00B816B6"/>
    <w:rsid w:val="00B82726"/>
    <w:rsid w:val="00B82E2D"/>
    <w:rsid w:val="00BA23D7"/>
    <w:rsid w:val="00BA72F9"/>
    <w:rsid w:val="00BC4932"/>
    <w:rsid w:val="00BC55FD"/>
    <w:rsid w:val="00BE7037"/>
    <w:rsid w:val="00BF44AD"/>
    <w:rsid w:val="00BF583B"/>
    <w:rsid w:val="00C00336"/>
    <w:rsid w:val="00C12BAE"/>
    <w:rsid w:val="00C46853"/>
    <w:rsid w:val="00C64E63"/>
    <w:rsid w:val="00C74A7E"/>
    <w:rsid w:val="00C95D38"/>
    <w:rsid w:val="00CA0689"/>
    <w:rsid w:val="00CA0DCE"/>
    <w:rsid w:val="00CB6520"/>
    <w:rsid w:val="00CC41B4"/>
    <w:rsid w:val="00CE19DD"/>
    <w:rsid w:val="00D01A43"/>
    <w:rsid w:val="00D11104"/>
    <w:rsid w:val="00D25F02"/>
    <w:rsid w:val="00D31E9E"/>
    <w:rsid w:val="00D32D02"/>
    <w:rsid w:val="00D462DC"/>
    <w:rsid w:val="00D56ADF"/>
    <w:rsid w:val="00D652D6"/>
    <w:rsid w:val="00D67412"/>
    <w:rsid w:val="00D84CB0"/>
    <w:rsid w:val="00D93157"/>
    <w:rsid w:val="00DD2796"/>
    <w:rsid w:val="00DF129A"/>
    <w:rsid w:val="00DF137B"/>
    <w:rsid w:val="00DF5FFC"/>
    <w:rsid w:val="00E52BF6"/>
    <w:rsid w:val="00E54719"/>
    <w:rsid w:val="00E61C6E"/>
    <w:rsid w:val="00E65B75"/>
    <w:rsid w:val="00E717C4"/>
    <w:rsid w:val="00E81792"/>
    <w:rsid w:val="00E83502"/>
    <w:rsid w:val="00EB1D29"/>
    <w:rsid w:val="00ED471D"/>
    <w:rsid w:val="00EF44C2"/>
    <w:rsid w:val="00F049D0"/>
    <w:rsid w:val="00F06A94"/>
    <w:rsid w:val="00F15604"/>
    <w:rsid w:val="00F31C15"/>
    <w:rsid w:val="00F427D0"/>
    <w:rsid w:val="00F56F7B"/>
    <w:rsid w:val="00FA3E7E"/>
    <w:rsid w:val="00FB52AA"/>
    <w:rsid w:val="00FD2C3E"/>
    <w:rsid w:val="00FE2AE9"/>
    <w:rsid w:val="00FF3AD7"/>
    <w:rsid w:val="00FF5DB9"/>
    <w:rsid w:val="00FF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90FE0-758D-42E8-830F-EFAA9FE5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ad">
    <w:name w:val="lead"/>
    <w:basedOn w:val="a"/>
    <w:rsid w:val="00EF44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F44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44C2"/>
    <w:rPr>
      <w:b/>
      <w:bCs/>
    </w:rPr>
  </w:style>
  <w:style w:type="character" w:styleId="a5">
    <w:name w:val="Hyperlink"/>
    <w:basedOn w:val="a0"/>
    <w:uiPriority w:val="99"/>
    <w:semiHidden/>
    <w:unhideWhenUsed/>
    <w:rsid w:val="00EF44C2"/>
    <w:rPr>
      <w:color w:val="0000FF"/>
      <w:u w:val="single"/>
    </w:rPr>
  </w:style>
  <w:style w:type="paragraph" w:styleId="a6">
    <w:name w:val="List Paragraph"/>
    <w:basedOn w:val="a"/>
    <w:uiPriority w:val="34"/>
    <w:qFormat/>
    <w:rsid w:val="008D7C9F"/>
    <w:pPr>
      <w:ind w:left="720"/>
      <w:contextualSpacing/>
    </w:pPr>
  </w:style>
  <w:style w:type="paragraph" w:styleId="a7">
    <w:name w:val="Balloon Text"/>
    <w:basedOn w:val="a"/>
    <w:link w:val="a8"/>
    <w:uiPriority w:val="99"/>
    <w:semiHidden/>
    <w:unhideWhenUsed/>
    <w:rsid w:val="00551F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1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3544">
      <w:bodyDiv w:val="1"/>
      <w:marLeft w:val="0"/>
      <w:marRight w:val="0"/>
      <w:marTop w:val="0"/>
      <w:marBottom w:val="0"/>
      <w:divBdr>
        <w:top w:val="none" w:sz="0" w:space="0" w:color="auto"/>
        <w:left w:val="none" w:sz="0" w:space="0" w:color="auto"/>
        <w:bottom w:val="none" w:sz="0" w:space="0" w:color="auto"/>
        <w:right w:val="none" w:sz="0" w:space="0" w:color="auto"/>
      </w:divBdr>
      <w:divsChild>
        <w:div w:id="1031764703">
          <w:marLeft w:val="0"/>
          <w:marRight w:val="0"/>
          <w:marTop w:val="0"/>
          <w:marBottom w:val="0"/>
          <w:divBdr>
            <w:top w:val="none" w:sz="0" w:space="0" w:color="auto"/>
            <w:left w:val="none" w:sz="0" w:space="0" w:color="auto"/>
            <w:bottom w:val="none" w:sz="0" w:space="0" w:color="auto"/>
            <w:right w:val="none" w:sz="0" w:space="0" w:color="auto"/>
          </w:divBdr>
        </w:div>
        <w:div w:id="63445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50D49-6671-408F-8B6A-5D54AC77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3330</Words>
  <Characters>18983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ZhaboMA</cp:lastModifiedBy>
  <cp:revision>28</cp:revision>
  <cp:lastPrinted>2018-07-31T09:10:00Z</cp:lastPrinted>
  <dcterms:created xsi:type="dcterms:W3CDTF">2018-07-23T11:40:00Z</dcterms:created>
  <dcterms:modified xsi:type="dcterms:W3CDTF">2018-08-07T10:54:00Z</dcterms:modified>
</cp:coreProperties>
</file>