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D02" w:rsidRDefault="00D32D02" w:rsidP="00DF129A">
      <w:pPr>
        <w:shd w:val="clear" w:color="auto" w:fill="FFFFFF"/>
        <w:spacing w:after="126" w:line="240" w:lineRule="auto"/>
        <w:ind w:left="5670"/>
        <w:jc w:val="both"/>
        <w:rPr>
          <w:rFonts w:ascii="Times New Roman" w:hAnsi="Times New Roman" w:cs="Times New Roman"/>
          <w:sz w:val="24"/>
          <w:szCs w:val="24"/>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Минфин России: отмена транспортного налога приведет к росту цен почти на все товары</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20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Отмена транспортного налога потребует увеличить ставки акцизов на нефтепродукты, что приведет к росту цен на большинство товаров. Такой вывод содержится в письме Департамента налоговой и таможенной политики Минфина России от 15 мая 2018 г. № 03-05-06-04/32501 "Об особенностях уплаты транспортного налога". Отмена транспортного налога приведет к значительным бюджетным потерям, что и будет являться причиной повышения ставки акцизов.</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Согласно Бюджетному кодексу транспортный налог и акцизы на нефтепродукты является одним из источников формирования дорожного фонда.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Субъекты РФ наделены некоторыми полномочиями по регулированию элементов налога. Вопросы введения транспортного налога, установления налоговой ставки и льгот и основания для их применения для некоторых категорий налогоплательщиков находятся в компетенции законодательных (представительных) органов субъектов РФ.</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Ставки налога установлены в п. 1 ст. 361 Налогового кодекса и могут быть как увеличены, так и уменьшены законами субъектов РФ, но не более чем в 10 раз. Однако такое ограничение не действует в отношении легковых автомобилей с мощностью двигателей до 150 л.с.</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Субъекты РФ могут регулировать сумму налога, подлежащего уплате. Ведомство отметило, транспортный налог является региональным и формирует существенную долю доходной базы региональных и местных бюджетов и не зачисляется в федеральный бюджет.</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ГАРАНТ.РУ: http://www.garant.ru/news/1208704/#ixzz5Lvjig2JM</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Президент РФ подписал закон о введении нового федерального налога и снижении акцизов на бензин до конца года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20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Президент РФ Владимир Путин подписал Федеральный закон от 19 июля 2018 г. № 199-ФЗ "О внесении изменений в части первую и вторую Налогового кодекса Российской Федерации". Данный закон предусматривает пониженные ставки акцизов, которые уже вступили в силу в отношении автомобильного бензина класса 5 и дизельного топлива с 1 июня по 31 декабря 2018 года включительно. Пониженные ставки применяются по отношению к операциям, совершенным с 1 июня 2018 года. С 1 января 2019 года вступит в силу новая глава Налогового кодекса 25.4 "Налог на дополнительный доход от добычи углеводородного сырья". Подробнее об этих изменениях мы писали в нашей новости.</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ГАРАНТ.РУ: http://www.garant.ru/news/1208516/#ixzz5LvvwV4Um</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Президент РФ подписал закон, освобождающий от НДФЛ доход в виде курсовой разницы</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20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Президент РФ Владимир Путин подписал Федеральный закон от 19 июля 2018 № 200-ФЗ "О внесении изменений в статьи 210 и 214-1 части второй Налогового кодекса Российской Федерации". В соответствии с ним от НДФЛ освободят доходы, которые получают физлица от изменения курса иностранной валюты при продаже облигаций внешних облигационных займов, выраженные в иностранной валюте.</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Новый закон опубликован 19 июля и вступает в силу по истечению одного месяца с этой даты, но не ранее первого числа очередного налогового периода по НДФЛ. То есть закон вступит в силу 1 января 2019 года, так как налоговым периодом по НДФЛ признается календарный год (ст. 216 Налогового кодекса).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ГАРАНТ.РУ: http://www.garant.ru/news/1208501/#ixzz5LvwU2N1t</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Госорганы и МФЦ лишены возможности требовать у граждан излишние документы</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20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Подписан и опубликован закон, который определяет особенности взаимодействия граждан с государственными и муниципальными органами при предоставлении услуг (Федеральный закон от 19 июля 2018 г. № 204-ФЗ). Властные субъекты и МФЦ не смогут требовать у граждан предоставить документы и информацию, отсутствие или недостоверность которых не указывались при первоначальном отказе в приеме документов, необходимых для предоставления услуги, либо непосредственно отказе от ее оказания.</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Из этого правила предусмотрены исключения, оно не будет действовать, если:</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изменились требования НПА, касающихся предоставления услуги, причем после первоначальной подачи заявления;</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обнаружены ошибки в заявлении и документах, поданных гражданином после первоначального отказа в приеме документов;</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выявлен документально подтвержденный факт или признак ошибочного либо противоправного действия (бездействия) должностного лица или работника МФЦ при первоначальном отказе в приеме документов.</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О последнем факте заявителю должны сообщить в письменном виде за подписью руководителя органа, руководителя МФЦ. Ему также приносятся извинения за доставленные неудобства. Извинения предполагаются и в ответе заявителю о признании его жалобы на отказ в принятии документов, в нем же должна указываться информация о дальнейших действиях, которые необходимо совершить.</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Новый закон вступит в силу 18 октября текущего года.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ГАРАНТ.РУ: http://www.garant.ru/news/1208500/#ixzz5LvxEvqrz</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Разъяснено, как принять к вычету НДС, если организация экспортирует продукцию, которая не входят в Перечень сырьевых товаров</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20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 xml:space="preserve">Cуммы НДС по товарам, работам или услугам, принятым к учету после 1 июля 2016 года и используемым для осуществления операций по реализации на экспорт сырьевых товаров, которые не включены Правительством Российской Федерации в Перечень сырьевых товаров, могут приниматься к вычету после 1 июля 2018 года до момента </w:t>
      </w:r>
      <w:r w:rsidRPr="00BA72F9">
        <w:rPr>
          <w:rFonts w:ascii="Times New Roman" w:eastAsia="Times New Roman" w:hAnsi="Times New Roman" w:cs="Times New Roman"/>
          <w:color w:val="2F2F2F"/>
          <w:sz w:val="20"/>
          <w:szCs w:val="20"/>
        </w:rPr>
        <w:lastRenderedPageBreak/>
        <w:t>определения налоговой базы по экспортируемым товарам (письмо Департамента налоговой и таможенной политики Минфина России от 10 июля 2018 г. № 03-07-08/47794 "О применении НДС при реализации товаров, вывозимых с территории РФ в таможенной процедуре экспорта").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К сырьевым товарам относятся, например, минеральные продукты, древесина, драгоценные металлы (п. 10 ст. 165 Налогового кодекса). При этом перечень кодов видов сырьевых товаров определяет Правительство РФ в соответствии с Товарной номенклатурой внешнеэкономической деятельности Евразийского экономического союза. С 1 июля 2018 года в силу вступил перечень кодов видов сырьевых товаров, утвержденный постановлением Правительства РФ от 18 апреля 2018 г. № 466 (далее – Перечень).</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Финансисты указали, что налоговые вычеты по приобретенным товарам, работам или услугам, предусмотренные п. 1-8 ст. 171 НК РФ в отношении, например, экспортируемых товаров производятся на момент определения налоговой базы, когда собран пакет документов, подтверждающих ставку НДС в размере 0%, то есть на последнее число квартала (п. 9 ст. 167, п. 3 ст. 172 НК РФ). Такой порядок не распространяется в отношении экспортирумых товаров, если они не поименованы в п. 10 ст. 165 НК РФ. Указанные положения применяются в отношении приобретенных товаров, работ или услуг, которые приняты на учет с 1 июля 2016 года (п. 2 ст. 2 Федерального закона от 30 мая 2016 г. № 150-ФЗ "О внесении изменений в главу 21 части второй Налогового кодекса Российской Федерации").</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Если, например, налогоплательщик может определить продукцию по Товарной номенклатуре внешнеэкономической деятельности Евразийского экономического союза как отнесенную к категории сырьевых, но не включенную в Перечень, вычеты по приобретенным товарам, работам или услугам для осуществления экспортных операций в таком случае могут приниматься к вычету после 1 июля 2018 года до того, как будет определена налоговая база по экспортируемым товарам.</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ГАРАНТ.РУ: http://www.garant.ru/news/1208676/#ixzz5LvqJ30q1</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Скорректированы положения законодательства о российских гражданах, приглашающих иностранцев в нашу страну</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20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Установлено правило, в соответствии с которым российский гражданин должен принять меры, чтобы приглашенный им иностранец соблюдал порядок пребывания в России, то есть заявленная им цель въезда должна соответствовать фактически осуществляемой деятельности или роду занятий. Также приглашающая сторона должна обеспечить своевременный выезд иностранца за пределы страны (Федеральный закон от 19 июля 2018 г. № 216-ФЗ "О внесении изменения в статью 16 Федерального закона "О правовом положении иностранных граждан в Российской Федерации"). Предполагается, что перечень и порядок применения мер установит Правительство РФ.</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Скорректированы положения ч. 2 ст. 18.9 КоАП – за несоблюдение новых правил российским гражданам грозит наказание (Федеральный закон от 19 июля 2018 г. № 215-ФЗ "О внесении изменения в статью 18.9 Кодекса Российской Федерации об административных правонарушениях"). За непринятие приглашающей стороной установленных мер по обеспечению соблюдения иностранцем или лицом без гражданства режима пребывания (проживания) в России в части соответствия заявленной цели въезда фактически осуществляемой деятельности или роду занятий. То же касается непринятия приглашающей стороной установленных мер по обеспечению своевременного выезда указанных лиц по истечении определенного срока пребывания. Определены и санкции – размер штрафа для граждан составит от 2 тыс. до 4 тыс. руб., для должностных лиц – от 45 тыс. до 50 тыс. руб., а для организаций – от 400 тыс. до 500 тыс. руб.</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Оба новых закона вступят в силу 16 января 2019 года.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ГАРАНТ.РУ: http://www.garant.ru/news/1208679/#ixzz5LvrHGOP5</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У аудиторов не останется тайн от налоговых органов</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20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В третьем чтении принят законопроект о внесении изменений в Налоговый кодекс, направленный на обеспечение доступа налоговых инспекторов к аудиторским документам.</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Налоговым органам будет предоставлено право истребовать у аудиторских организаций и индивидуальных аудиторов документы (информацию), полученные ими о налогоплательщике в ходе своей деятельности, на основании решения руководителя (его заместителя) ФНС России.</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Могут быть истребованы документы (информация), служащие основаниями для исчисления и уплаты (удержания, перечисления) налога (сбора, страховых взносов), если такие сведения были истребованы у налогоплательщика (налогового агента и т. д.) и не были представлены им в налоговый орган при проведении:</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выездной налоговой проверки плательщика;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проверки полноты исчисления и уплаты налогов в связи с совершением сделок между взаимозависимыми лицами.</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Налоговый орган сможет истребовать у аудиторов сведения при поступлении в отношении аудируемого лица запроса компетентного органа иностранного государства (территории) в случаях, предусмотренных международными договорами РФ.</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На передачу аудитором налоговому органу истребованных документов отводится 10 дней с момента получения требования.</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Закон будет действовать с 1 января 2019 года.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ГАРАНТ.РУ: http://www.garant.ru/news/1208573/#ixzz5LvsxBSE8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Законопроект о повышении пенсионного возраста одобрен в первом чтении</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19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 xml:space="preserve">Госдума одобрила в первом чтении законопроект о повышении пенсионного возраста, предполагается, что в связи с этим с 2019 года увеличение пенсий неработающим пенсионерам составит в среднем 12 тыс. рублей в год. </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 xml:space="preserve">Некоторые участники обсуждения высказали свои замечания к документу. Депутат Ярослав Нилов отметил, что в текущей редакции документа не представлен механизм повышения пенсий, а также назвал предложенный механизм перехода слишком жестким и не исключил роста безработицы. Тем не менее, он сообщил, что Комитет по труду, </w:t>
      </w:r>
      <w:r w:rsidRPr="00BA72F9">
        <w:rPr>
          <w:rFonts w:ascii="Times New Roman" w:eastAsia="Times New Roman" w:hAnsi="Times New Roman" w:cs="Times New Roman"/>
          <w:color w:val="2F2F2F"/>
          <w:sz w:val="20"/>
          <w:szCs w:val="20"/>
        </w:rPr>
        <w:lastRenderedPageBreak/>
        <w:t>социальной политике и делам ветеранов принял решение поддержать законопроект с учетом доработки ко второму чтению.</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С необходимостью корректировок согласился и депутат Дмитрий Морозов. Он добавил, что Правительству РФ нужно детально проработать пакет законов и подзаконных актов, обеспечивающих всем право на труд, современную систему образования профориентации и охраны здоровья. Максим Топилин отметил, что в настоящее время готовится программа по поддержке регионов с точки зрения внедрения дополнительных программ занятости и повышения квалификации людей предпенсионного возраста. На эти цели из федерального бюджета предполагается выделить 5 млрд руб.</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Срок предоставления поправок ко второму чтению продлится с 18 августа до 24 сентября.</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ГАРАНТ.РУ: http://www.garant.ru/news/1208392/#ixzz5LvDS1HcJ</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В Госдуме приняли закон о введении штрафов за нарушения в сфере долевого строительства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19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Предполагается, что за нарушение порядка размещения информации в единой информационной системе жилищного строительства организациям и должностным лицам будут грозить санкции. Неразмещение информации повлечет наложение административного штрафа в размере от 15 тыс. до 30 тыс. руб. на должностных лиц и от 50 тыс. до 200 тыс. руб. – на юрлиц. За повторное правонарушение наказание еще строже – штраф от 40 тыс. до 80 тыс. руб. или дисквалификация на срок от года до трех лет для чиновников и штраф от 200 тыс. до 400 тыс. руб. для организаций.</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Панируется наказывать за необоснованное принятие решения о выдаче заключения застройщику о соответствии его проектной декларации и его самого требованиям законодательства. Это касается органов, осуществляющих региональный государственный контроль (надзор) в области долевого строительства многоквартирных домов и иных объектов недвижимости. Штраф для должностных лиц будет варьироваться от 50 тыс. до 100 тыс. руб.</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В соответствии с текущей редакцией закона новые правила вступят в силу с 1 октября текущего года.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 xml:space="preserve">Такой документ был принят в Госдуме в третьем, окончательном чтении. </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ГАРАНТ.РУ: http://www.garant.ru/news/1208472/#ixzz5M12uRivD</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Принят закон, предусматривающий существенные изменения в нескольких главах Налогового кодекса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19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В третьем чтении Госдума приняла закон, предусматривающий важные поправки, например, которые внесут в главу 21 Налогового кодекса, посвященную НДС. Срок камеральной налоговой проверки декларации по НДС будет составлять два месяца с даты предоставления декларации, но срок может быть продлен до трех месяцев по решению руководителя (заместителя руководителя) налогового органа в случае установления признаков возможного нарушения налогового законодательства.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Новый срок проведения камеральной проверки декларации по НДС будет применяться в отношении деклараций, представленных после дня вступления в силу закона.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Что касается заявительного порядка возмещения НДС, то новый закон предполагает смягчение одного из условий, которое дает право на такой порядок возмещения. А именно, предусмотрено снижение минимальной суммы налогов с 7 млрд до 2 млрд руб., уплаченных за три календарных года, предшествующих году подачи заявления о применении заявительного порядка.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Для подтверждения нулевой ставки по НДС при экспорте товаров больше не нужно будет представлять товарно-сопроводительные документы.</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Несколько новелл связаны с проведением налоговых проверок. Например, в ст. 90 НК РФ пропишут, что после проведения допроса налоговики должны будут вручить копию протокола допроса свидетелю лично под расписку.</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Ранее представленные в налоговые органы документы (информация) могут не представляться в налоговую инспекцию, если организация (ИП) направит уведомление о том, что ответила на требование ранее с указанием реквизитов документа, которым они были представлены, и наименования налогового органа, в который они были направлены. Но документы (информацию) необходимо будет представить, если они ранее подавались в виде подлинников, или были утрачены вследствие обстоятельств непреодолимой силы.</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 xml:space="preserve">Если инспекторы проводили дополнительные мероприятия налогового контроля, то в дополнении к акту налоговой проверки будет фиксироваться дата начала и окончания дополнительных мероприятий налогового контроля, сведения о проведенных мероприятиях, полученные доказательства, подтверждающие нарушение налогового законодательства или их отсутствие, </w:t>
      </w:r>
      <w:proofErr w:type="gramStart"/>
      <w:r w:rsidRPr="00BA72F9">
        <w:rPr>
          <w:rFonts w:ascii="Times New Roman" w:eastAsia="Times New Roman" w:hAnsi="Times New Roman" w:cs="Times New Roman"/>
          <w:color w:val="2F2F2F"/>
          <w:sz w:val="20"/>
          <w:szCs w:val="20"/>
        </w:rPr>
        <w:t>выводы и предложения</w:t>
      </w:r>
      <w:proofErr w:type="gramEnd"/>
      <w:r w:rsidRPr="00BA72F9">
        <w:rPr>
          <w:rFonts w:ascii="Times New Roman" w:eastAsia="Times New Roman" w:hAnsi="Times New Roman" w:cs="Times New Roman"/>
          <w:color w:val="2F2F2F"/>
          <w:sz w:val="20"/>
          <w:szCs w:val="20"/>
        </w:rPr>
        <w:t xml:space="preserve"> проверяющих по устранению выявленных нарушений.</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Из объекта налогообложения налогом на имущество организаций будет исключено движимое имущество.</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ГАРАНТ.РУ: http://www.garant.ru/news/1208363/#ixzz5LvK99z4H</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Сроки начала действия требований к "возрасту автобусов" предлагается перенести</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19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Минтранс России считает необходимым продлить все сроки вступления в силу требования к году выпуска автобуса для организованной перевозки группы детей. Если его проект постановления Правительства РФ одобрят, то это правило начнет действовать только с 30 июня 2020 года для всех категорий автобусов.</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В соответствии с п. 3 Правил организованной перевозки группы детей автобусами для осуществления такой перевозки должен использоваться автобус, с года выпуска которого прошло не более 10 лет. Эти требования уже начали действовать частично – с 1 июля 2018 года они применяются в отношении автобусов категории М2, используемых для организованных перевозок групп детей по маршрутам, начальные и (или) конечные пункты которых расположены в Ленинградской и Московской областях, либо в Москве и Санкт-Петербурге. Автобусов категории М2, используемых для организованных перевозок групп детей по иным маршрутам, это правило коснется с 1 апреля 2019 года.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 xml:space="preserve">Предусмотрены отдельные сроки вступления в силу требований для автобусов категории М3. Они должны быть не "старше" 10 лет, если перемещаются по маршрутам организованных перевозок детей, начальные и (или) конечные пункты которых расположены в Ленинградской и Московской областях, в Москве и Санкт-Петербурге – с 1 октября </w:t>
      </w:r>
      <w:r w:rsidRPr="00BA72F9">
        <w:rPr>
          <w:rFonts w:ascii="Times New Roman" w:eastAsia="Times New Roman" w:hAnsi="Times New Roman" w:cs="Times New Roman"/>
          <w:color w:val="2F2F2F"/>
          <w:sz w:val="20"/>
          <w:szCs w:val="20"/>
        </w:rPr>
        <w:lastRenderedPageBreak/>
        <w:t>2018 года. Перевозка детей по иным маршрутам в автобусах этой категории с учетом требования о "возрасте" должна осуществляться с 1 октября 2019 года (п. 3 Постановления Правительства РФ от 17 декабря 2013 г. № 1177 "Об утверждении Правил организованной перевозки группы детей автобусами").</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В настоящее время проходит независимая антикоррупционная экспертиза проекта, она завершится 24 июля этого года.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ГАРАНТ.РУ: http://www.garant.ru/news/1208362/#ixzz5M18DtAO8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Аптекам и клиникам предписано включить кондиционеры из-за аномально жаркой погоды и повышенной влажности</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19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Росздравнадзор напомнил аптечным и медорганизациям о необходимости соблюдать температурный режим в помещениях больниц, поликлиник, ФАП, торговых залах аптек, а также правила хранения лекарственных препаратов, особенно термолабильных препаратов и требующих хранения в "сухом месте" (письмо Росздравнадзора от 26 июня 2018 г. № 01И-1595/18).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Сейчас наблюдается неблагоприятная ситуация из-за аномально жаркой погоды, а также повышенной влажности в отдельных регионах России.</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Учитывая погодные условия, Росздравнадзор рекомендует руководителям аптек и медучреждений обеспечить кондиционирование соответствующих помещений: несоблюдение условий хранения лекарственных средств, в том числе требующих особых условий хранения, относится к грубым нарушениям лицензионных требований. Органы Росздравнадзора вправе устраивать внеплановые выездные проверки без уведомления проверяемых лиц – если поступят жалобы на жару в помещениях аптек или клиник.</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Росздравнадзор предупреждает, нарушение правил хранения лекарственных препаратов приводит к снижению их терапевтических свойств и может создать угрозу жизни или причинить вред здоровью граждан.</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ГАРАНТ.РУ: http://www.garant.ru/news/1208466/#ixzz5M1BqNOU1</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До конца года могут продлить возможность получения льготного кредита на покупку деревянного дома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19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Минпромторг России предлагает продлить действие программы субсидирования кредитов на покупку деревянных домов заводского изготовления до конца 2018 года.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Предлагается дополнить условия указанной программы требованием о том, что срок действия кредитного договора не должен превышать 60 месяцев.</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ГАРАНТ.РУ: http://www.garant.ru/news/1208366/#ixzz5M1CfSVPK</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Размер прожиточного минимума во II квартале этого года могут увеличить</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18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Минтруд России представил для общественного обсуждения проект своего приказа, в случае одобрения которого величина прожиточного минимума для всех категорий населения увеличится. Рост показателя на душу населения составит 4% (10 444 руб. во II квартале этого года против 10 038 руб. в I квартале), и столько же – для трудоспособного населения (11 280 руб. против 10 842 руб.), для пенсионеров – 3,8% (8583 руб. против 8269 руб.), а также для детей – 4,3% (10 390 руб. против 9959 руб.).</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Министерство пояснило, индекс потребительских цен во II квартале 2018 года по отношению к предыдущему кварталу составил 101,1%. А изменение величины прожиточного минимума обусловлено ростом стоимости продуктов питания на 3,8% в составе величины прожиточного минимума на душу населения. Рост стоимости, в свою очередь, связан прежде всего с увеличением цен на картофель и плодоовощную продукцию, которые, как напомнил Минтруд России, занимают более 30% в объеме продуктового набора.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Общественное обсуждение проекта приказа Минтруда России завершится 31 июля 2018 года.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ГАРАНТ.РУ: http://www.garant.ru/news/1208338/#ixzz5M16pWvMK</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Председатель Банка России: "Произошел перелом по кредитованию малого и среднего бизнеса"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18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В настоящее время кредитование малому и среднему бизнесу растет быстрее, чем кредитование крупным предприятиям, оно увеличилось на 6,9%. Ставки для указанных субъектов впервые вышли на уровень однозначных цифр, сегодня в среднем они составляют 9,95%. Об этом сообщила Председатель Банка России Эльвира Набиуллина на встрече с Президентом РФ Владимиром Путиным. В 2015-2016 годах кредитование малого и среднего бизнеса существенно просело, но сейчас в данном направлении произошел перелом. При этом процентные ставки во многом зависят от прозрачности малого и среднего бизнеса, поскольку кредитным организациям не очень ясна деятельность теневых компаний. Однако сегодня регулятор старается выстроить свою работу так, чтобы банкам было выгоднее выдавать кредиты в том числе малому и среднему бизнесу. Банк России беспокоит структура кредитов и выразила надежду, что больше будут расти те, которые выдаются на развитие производства и инвестиционные проекты.</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В связи с этим в дальнейшем планируется посредством регулирования и политики резервов делать более выгодным кредитование малого и среднего бизнеса, а также инвестиционных проектов. При этом будет, наоборот, дестимулироваться кредитование на перераспределение собственности, валютное кредитование и кредитование бизнеса собственников. "Политика по оздоровлению банковской системы показала, что часто проблемы банков связаны с тем, что банки привлекают деньги вкладчиков, а потом банк вкладывает их в проекты собственников, не анализируя никакие риски, ничего. Эти банки прогорают, и мы должны защитить права вкладчиков", – отметила Эльвира Набиуллина.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 xml:space="preserve">Центральный банк собирается упростить для банков и сделать более дешевыми мобильные кассы и передвижные структурные подразделения. Также планируется развивать новые финансовые технологии и дистанционные услуги. Пояснялось, что эта работа необходима для обеспечения доступности финансовых услуг для людей в малонаселенных пунктах и на отдаленных территориях, где банки часто закрывают свои офисы. Ожидается, что в данном случае положительную роль сыграет внедрение единой системы идентификации через биометрию. </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lastRenderedPageBreak/>
        <w:t>ГАРАНТ.РУ: http://www.garant.ru/news/1208174/#ixzz5M0tNzOhG</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Продажа алкоголя в жилых домах может быть запрещена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18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Снижение употребления алкоголя среди россиян – одно из приоритетных направлений федерального проекта, разрабатываемого экспертным сообществом совместно с ОНФ. Именно с этой целью планируется ввести запрет на продажу алкогольной продукции в торговых точках и точках общественного питания, располагающихся в жилых домах.</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Меры, направленные на снижение употребления алкогольной продукции, как отметили главный внештатный психиатр-нарколог Минздрава России Евгений Брюн и заместитель председателя комитета Госдумы по охране здоровья, член Центрального штаба ОНФ, заслуженный врач РФ Николай Говорин на состоявшейся пресс-конференции "Национальной Службы Новостей", должны быть системными и комплексными. Например, осуществляться по разным направлениям деятельности и включать в себя разного рода ограничения и запреты.</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В качестве примера Евгений Брюн назвал некоторые действующие ограничения на продажу и употребление алкогольной продукции: ценовые, возрастные и временные (п. 5 ст. 11, подп. 11 п. 2, п. 9 ст.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Николай Говорин в свою очередь отметил, что необходимо:</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эффективнее осуществлять государственный контроль за оборотом алкогольной продукции и ее качеством;</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достигать снижения уровня спроса на алкогольную продукцию, особенно среди молодежи;</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формировать ответственное отношение граждан к своему здоровью;</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придерживаться рекомендаций ВОЗ по снижению употребления алкоголя;</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увеличивать количество соответствующей социальной рекламы;</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снижать плотность точек реализации алкогольной продукции на уровне муниципальных образований. Эксперт констатировал, что количество точек продаж алкоголя, расположенных на сегодняшний день в нежилых помещениях жилых многоквартирных домов чрезвычайно велико и необходимо постепенно эту ситуацию менять.</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По словам представителя Минздрава России Евгения Брюна, еще около трех лет назад министерством проводился опрос, по результатам которого большинство опрошенных высказались за то, чтобы вывести продажу алкогольной продукции в специализированные магазины, находящиеся на некотором удалении от жилых домов. Подобная инициатива уже была реализована на региональном уровне в Республике Саха (Якутия) с 1 января 2015 года (ч. 1 ст. 2 Закона Республики Саха (Якутия) от 5 декабря 2013 года 1248-З № 51-V "Об установлении дополнительных ограничений времени, условий и мест розничной продажи алкогольной продукции в Республике Саха (Якутия)").</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Представителем Госдумы были обозначены проблемы, которыми продиктована разработка обсуждаемого проекта: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снижение рождаемости. Так, по его словам, в 2017 году в России родилось на 203 тыс. детей меньше, чем в 2015 году;</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"сверхсмертность" среди трудоспособного населения, особенно среди мужчин и в частности среди тех из них, кто проживает в сельской местности. Эксперт отметил, что мужчины живут в среднем на 10-12 лет меньше, чем женщины;</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мужское бесплодие – 4 млн мужчин, достигших репродуктивного возраста, бесплодны;</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смертность от причин, прямо или косвенно, связанных с употреблением алкоголя – около 500 тыс. человек в год;</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высокие затраты учреждений системы здравоохранения на оказание медицинской помощи пациентам, которые обратились в больницу из-за причин, связанных с употреблением алкоголя (отравление, бытовые травмы и т. д.) – они тратят на это примерно 10-15% средств своего бюджета.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Список проблем, касающихся оборота и употребления алкоголя, дополнил президент Гильдии маркетологов Игорь Березин:</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употребление спиртосодержащих жидкостей, которые для этого в принципе не предназначены (технические жидкости, аптечные препараты и пр.);</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продажа контрафактной алкогольной продукции – по разным оценкам такая продукция составляет от 1/4 до 1/2 всего соответствующего рынка;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неисполнение существующих нормативных запретов и ограничений в сфере оборота и употребления алкогольной продукции.</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Игорь Березин согласился с тем, что введение запрета на продажу алкогольной продукции в торговых точках и точках общественного питания, располагающихся в жилых домах, может быть полезным, но в то же время указал на опасность роста нелегальной торговли алкоголем при резком сокращении количества точек. Он считает, что введение запрета может нанести ущерб розничной торговле, в том числе торговле так называемыми товарами социального назначения (хлеб, молоко, крупы и пр.) и спровоцировать рост цен на последние. В связи с этим эксперт заключил, что акцент следует делать на борьбе с нелегальной торговлей алкогольной продукцией и указал на необходимость взвешенного подхода к разработке законопроекта.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Напомним, что за незаконную торговлю алкогольной и спиртосодержащей пищевой продукцией для физлиц и ИП специально предусмотрены меры административной (с 30 июля 2017 года) и уголовной (с 26 августа 2017 года) ответственности (ст. 14.17.1 КоАП, ст. 171.3-171.4 Уголовного кодекса). Для юрлиц, осуществляющих торговлю алкоголем без лицензии или с нарушением ее требований, ст. 14.17 КоАП РФ также предусмотрены штрафные санкции.</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 xml:space="preserve">Стоит отметить, что речь в проекте идет о запрете реализации алкогольной продукции в точках продаж, которые располагаются в нежилых помещениях жилых многоквартирных домов, а не в жилых районах в принципе, на что обратил внимание Евгений Брюн. Проект нацелен на то, чтобы вывести торговлю алкоголем из непосредственной близости к жилым домам и перевести ее в специализированные магазины, которые по мнению экспертов не должны располагаться на первых этажах многоквартирных домов или в пристроенных к домам сооружениях. Правда, где в таких случаях их можно было бы разместить, пока неясно. На строительство отдельно стоящих зданий потребуются большие финансовые затраты со стороны бизнеса, которым они вряд ли будут рады, тем более, что не так давно по стране прокатилась волна сноса одиночно расположенных построек. Коснется ли запрет абсолютно всех точек реализации алкоголя или, например, для сетевых супермаркетов, расположенных в жилых домах, будет сделано исключение, также </w:t>
      </w:r>
      <w:r w:rsidRPr="00BA72F9">
        <w:rPr>
          <w:rFonts w:ascii="Times New Roman" w:eastAsia="Times New Roman" w:hAnsi="Times New Roman" w:cs="Times New Roman"/>
          <w:color w:val="2F2F2F"/>
          <w:sz w:val="20"/>
          <w:szCs w:val="20"/>
        </w:rPr>
        <w:lastRenderedPageBreak/>
        <w:t>пока под вопросом. При этом на данном этапе разработки проекта о каких-либо территориальных ограничениях действия запрета в зависимости от конкретного района города речи не идет.</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 xml:space="preserve">Евгений Брюн неоднократно подчеркнул, что введение запрета в действие должно быть постепенным для того, чтобы и население, и бизнес могли адаптироваться к новым реалиям. </w:t>
      </w:r>
      <w:proofErr w:type="gramStart"/>
      <w:r w:rsidRPr="00BA72F9">
        <w:rPr>
          <w:rFonts w:ascii="Times New Roman" w:eastAsia="Times New Roman" w:hAnsi="Times New Roman" w:cs="Times New Roman"/>
          <w:color w:val="2F2F2F"/>
          <w:sz w:val="20"/>
          <w:szCs w:val="20"/>
        </w:rPr>
        <w:t xml:space="preserve">По его словам </w:t>
      </w:r>
      <w:proofErr w:type="gramEnd"/>
      <w:r w:rsidRPr="00BA72F9">
        <w:rPr>
          <w:rFonts w:ascii="Times New Roman" w:eastAsia="Times New Roman" w:hAnsi="Times New Roman" w:cs="Times New Roman"/>
          <w:color w:val="2F2F2F"/>
          <w:sz w:val="20"/>
          <w:szCs w:val="20"/>
        </w:rPr>
        <w:t>сейчас среди молодого поколения уже наблюдается тенденция к отказу от употребления алкогольной или табачной продукции, а также наркотиков. Так, по данным Минздрава России за последние 8 лет употребление алкоголя на душу населения сократилось с 18 до 10,3 л в год.</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 xml:space="preserve">Как заметил Николай Говорин, при подготовке законопроекта нужно будет определиться с плотностью точек продаж и установить административную ответственность за нарушение запрета, </w:t>
      </w:r>
      <w:proofErr w:type="gramStart"/>
      <w:r w:rsidRPr="00BA72F9">
        <w:rPr>
          <w:rFonts w:ascii="Times New Roman" w:eastAsia="Times New Roman" w:hAnsi="Times New Roman" w:cs="Times New Roman"/>
          <w:color w:val="2F2F2F"/>
          <w:sz w:val="20"/>
          <w:szCs w:val="20"/>
        </w:rPr>
        <w:t>например</w:t>
      </w:r>
      <w:proofErr w:type="gramEnd"/>
      <w:r w:rsidRPr="00BA72F9">
        <w:rPr>
          <w:rFonts w:ascii="Times New Roman" w:eastAsia="Times New Roman" w:hAnsi="Times New Roman" w:cs="Times New Roman"/>
          <w:color w:val="2F2F2F"/>
          <w:sz w:val="20"/>
          <w:szCs w:val="20"/>
        </w:rPr>
        <w:t xml:space="preserve"> такую, как лишение лицензии на продажу алкогольной продукции.</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Евгений Брюн не назвал конкретных сроков реализации инициативы, но подчеркнул, что для качественной подготовки законопроекта потребуется его проработка представителями общественности, специалистами, экспертами и депутатским корпусом.</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ГАРАНТ.РУ: http://www.garant.ru/news/1208348/#ixzz5M1DrSx7T</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Госдума приняла законы о применении в судах информационных технологий</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17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В третьем чтении были приняты два законопроекта, которые 27 марта внес в Госдуму Президент РФ Владимир Путин. Преимущественно они посвящены применению в судах информационных технологий – изменения вносятся в Гражданский процессуальный кодекс, Арбитражный процессуальный кодекс, Кодекс административного судопроизводства, а также в Уголовно-процессуальный кодекс. Так, в качестве основного способа формирования состава суда будет использоваться автоматизированная информационная система, которая сможет учитывать нагрузку и специализацию судей, в том числе в уголовном судопроизводстве. Другое важное изменение – это введение обязательной аудиозаписи судебных заседаний по гражданским и уголовным делам.</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 xml:space="preserve">Некоторые нормы унифицировали процессуальное законодательство в части статуса помощника судьи. Уточнено, что он уполномочен оказывать судье помощь в подготовке и организации судебного заседания, подготовке проектов судебных решений, по ведению протокола судебного заседания, обеспечению контроля за фиксированием хода судебного заседания техническими средствами, а также по проверке явки в суд участников заседания. </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Появится возможность перехода в первой инстанции из предварительного судебного заседания в основное при рассмотрении гражданских и административных дел. Для этого потребуется согласие сторон, если на предварительном заседании присутствуют лица, участвующие в деле, либо если они отсутствуют, но извещены о времени и месте заседания и просят рассмотреть дело по существу в их отсутствие.</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Принятые законы направлены на улучшение организационного обеспечения и эффективности осуществления судопроизводства, на повышение открытости правосудия, а также обеспечение независимости и объективности при вынесении судебных решений. Предполагается, что оба документа вступят в силу с 1 сентября 2019 года.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ГАРАНТ.РУ: http://www.garant.ru/news/1208025/#ixzz5LvMeAWw4</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Утверждены перечни операторов электронных площадок и банков со спецсчетами для проведения госзакупок</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17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Правительство РФ опубликовало два документа, которые определяют особенности осуществления госзакупок в электронной форме. Речь идет о применении как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так и Федерального закона от 18 июля 2011 г. № 223-ФЗ "О закупках товаров, работ, услуг отдельными видами юридических лиц", в том числе представителями малого и среднего бизнеса.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Во-первых, утвержден перечень операторов электронных площадок (Распоряжение Правительства РФ от 12 июля 2018 г. № 1447-р). В него вошли восемь компаний, а оператором специализированных торговых площадок смогла стать лишь одна организация. Все они соответствуют установленным кабмином требованиям: единым и дополнительным.</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Во-вторых, определен перечень банков, на специальные счета которых должны будут вноситься денежные средства, предназначенные для обеспечения заявок на участие в закупках товаров, работ, услуг и проведение конкурсных процедур (распоряжение Правительства РФ от 13 июля 2018 г. № 1451-р). Такое правило необходимо, как пояснило правительство на своем официальном сайте, для надлежащей степени защиты этих денежных средств. В перечень вошло 18 банков. Требования к указанным кредитным организациям также были определены ранее.</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Проводить закупочные процедуры в электронной форме можно с 1 июля текущего года, однако в полной мере система электронных закупок должна заработать только с 1 января следующего года (Федеральный закон от 31 декабря 2017 г. №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ГАРАНТ.РУ: http://www.garant.ru/news/1208039/#ixzz5M10pjm00</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Определен прожиточный минимум за I квартал текущего года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16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Установлено, что величина прожиточного минимума в целом по России за I квартал 2018 года на душу населения составляет 10 038 руб., для трудоспособного населения – 10 842 руб., для пенсионеров – 8269 руб., а для детей – 9959 руб. Эти размеры определены приказом Минтруда России (Приказ Минтруда России от 25 июня 2018 г. № 410н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 квартал 2018 года").</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 xml:space="preserve">В пояснительной записке к проекту данного приказа было указано, что стоимость продуктов питания в составе величины прожиточного минимума на душу населения увеличилась на 3,3%. </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 xml:space="preserve">в Российской Федерации"). </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lastRenderedPageBreak/>
        <w:t>ГАРАНТ.РУ: http://www.garant.ru/news/1207918/#ixzz5LvLz3VhI</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Законопроект о рассмотрении в судах дел об административных правонарушениях в формате видеоконференции принят в первом чтении</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16 июля 2018</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 xml:space="preserve">12 июля 2018 года Госдумой в первом чтении принят законопроект, авторы которого предлагают дополнить КоАП положениями, позволяющими при рассмотрении в судах дел об административных правонарушениях использовать </w:t>
      </w:r>
      <w:proofErr w:type="gramStart"/>
      <w:r w:rsidRPr="00BA72F9">
        <w:rPr>
          <w:rFonts w:ascii="Times New Roman" w:eastAsia="Times New Roman" w:hAnsi="Times New Roman" w:cs="Times New Roman"/>
          <w:color w:val="2F2F2F"/>
          <w:sz w:val="20"/>
          <w:szCs w:val="20"/>
        </w:rPr>
        <w:t>видеоконференц-связь</w:t>
      </w:r>
      <w:proofErr w:type="gramEnd"/>
      <w:r w:rsidRPr="00BA72F9">
        <w:rPr>
          <w:rFonts w:ascii="Times New Roman" w:eastAsia="Times New Roman" w:hAnsi="Times New Roman" w:cs="Times New Roman"/>
          <w:color w:val="2F2F2F"/>
          <w:sz w:val="20"/>
          <w:szCs w:val="20"/>
        </w:rPr>
        <w:t>.</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 xml:space="preserve">Судебное заседание в формате видеоконференции может быть проведено в случае, если для всестороннего, полного, объективного и своевременного выяснения обстоятельств дела, рассматриваемого судьей, разрешения его в соответствии с законом, обязательно присутствие в заседании участника производства по делу об административном правонарушении, который по объективным причинам не имеет такой возможности. Соответствующее решение судья принимает при наличии технической возможности использования </w:t>
      </w:r>
      <w:proofErr w:type="gramStart"/>
      <w:r w:rsidRPr="00BA72F9">
        <w:rPr>
          <w:rFonts w:ascii="Times New Roman" w:eastAsia="Times New Roman" w:hAnsi="Times New Roman" w:cs="Times New Roman"/>
          <w:color w:val="2F2F2F"/>
          <w:sz w:val="20"/>
          <w:szCs w:val="20"/>
        </w:rPr>
        <w:t>видеоконференц-связи</w:t>
      </w:r>
      <w:proofErr w:type="gramEnd"/>
      <w:r w:rsidRPr="00BA72F9">
        <w:rPr>
          <w:rFonts w:ascii="Times New Roman" w:eastAsia="Times New Roman" w:hAnsi="Times New Roman" w:cs="Times New Roman"/>
          <w:color w:val="2F2F2F"/>
          <w:sz w:val="20"/>
          <w:szCs w:val="20"/>
        </w:rPr>
        <w:t>.</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С просьбой об участии в судебном заседании посредством видеоконференции может обратиться участник дела об административном правонарушении, подав соответствующее ходатайство, либо суд может принять такое решение по собственной инициативе.</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 xml:space="preserve">По мнению Комитета Госдумы по государственному строительству и законодательству, выраженному в заключении на законопроект, концепция предлагаемого проекта федерального закона заслуживает одобрения и поддержки. Аналогичный порядок участия в судопроизводстве – посредством использования систем </w:t>
      </w:r>
      <w:proofErr w:type="gramStart"/>
      <w:r w:rsidRPr="00BA72F9">
        <w:rPr>
          <w:rFonts w:ascii="Times New Roman" w:eastAsia="Times New Roman" w:hAnsi="Times New Roman" w:cs="Times New Roman"/>
          <w:color w:val="2F2F2F"/>
          <w:sz w:val="20"/>
          <w:szCs w:val="20"/>
        </w:rPr>
        <w:t>видеоконференц-связи</w:t>
      </w:r>
      <w:proofErr w:type="gramEnd"/>
      <w:r w:rsidRPr="00BA72F9">
        <w:rPr>
          <w:rFonts w:ascii="Times New Roman" w:eastAsia="Times New Roman" w:hAnsi="Times New Roman" w:cs="Times New Roman"/>
          <w:color w:val="2F2F2F"/>
          <w:sz w:val="20"/>
          <w:szCs w:val="20"/>
        </w:rPr>
        <w:t xml:space="preserve"> – в настоящее время уже предусмотрен в Арбитражном процессуальном кодексе, Гражданском процессуальном кодексе, Кодексе административного судопроизводства и отчасти – в Уголовно-процессуальном кодексе, а также в Федеральном законе от 29 декабря 2015 г. № 382-ФЗ "Об арбитраже (третейском разбирательстве) в Российской Федерации".</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 xml:space="preserve">Вместе с тем в заключении отмечен и ряд его недостатков, требующих доработки. </w:t>
      </w:r>
    </w:p>
    <w:p w:rsidR="00BA72F9" w:rsidRPr="00BA72F9" w:rsidRDefault="00BA72F9" w:rsidP="00BA72F9">
      <w:pPr>
        <w:shd w:val="clear" w:color="auto" w:fill="FFFFFF"/>
        <w:spacing w:after="0" w:line="240" w:lineRule="auto"/>
        <w:jc w:val="both"/>
        <w:rPr>
          <w:rFonts w:ascii="Times New Roman" w:eastAsia="Times New Roman" w:hAnsi="Times New Roman" w:cs="Times New Roman"/>
          <w:color w:val="2F2F2F"/>
          <w:sz w:val="20"/>
          <w:szCs w:val="20"/>
        </w:rPr>
      </w:pPr>
      <w:r w:rsidRPr="00BA72F9">
        <w:rPr>
          <w:rFonts w:ascii="Times New Roman" w:eastAsia="Times New Roman" w:hAnsi="Times New Roman" w:cs="Times New Roman"/>
          <w:color w:val="2F2F2F"/>
          <w:sz w:val="20"/>
          <w:szCs w:val="20"/>
        </w:rPr>
        <w:t>ГАРАНТ.РУ: http://www.garant.ru/news/1207821/#ixzz5M1FyOsxp</w:t>
      </w:r>
    </w:p>
    <w:p w:rsidR="00C64E63" w:rsidRPr="00524672" w:rsidRDefault="00C64E63" w:rsidP="00524672">
      <w:pPr>
        <w:shd w:val="clear" w:color="auto" w:fill="FFFFFF"/>
        <w:spacing w:after="0" w:line="240" w:lineRule="auto"/>
        <w:jc w:val="both"/>
        <w:rPr>
          <w:rFonts w:ascii="Times New Roman" w:eastAsia="Times New Roman" w:hAnsi="Times New Roman" w:cs="Times New Roman"/>
          <w:color w:val="2F2F2F"/>
          <w:sz w:val="20"/>
          <w:szCs w:val="20"/>
        </w:rPr>
      </w:pPr>
      <w:bookmarkStart w:id="0" w:name="_GoBack"/>
      <w:bookmarkEnd w:id="0"/>
    </w:p>
    <w:sectPr w:rsidR="00C64E63" w:rsidRPr="00524672" w:rsidSect="00AF557B">
      <w:pgSz w:w="11906" w:h="16838"/>
      <w:pgMar w:top="510" w:right="624"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4E89"/>
    <w:multiLevelType w:val="multilevel"/>
    <w:tmpl w:val="2EA8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34812"/>
    <w:multiLevelType w:val="hybridMultilevel"/>
    <w:tmpl w:val="62BC206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65C464D6"/>
    <w:multiLevelType w:val="multilevel"/>
    <w:tmpl w:val="F2F8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23598"/>
    <w:multiLevelType w:val="hybridMultilevel"/>
    <w:tmpl w:val="B25C0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C2"/>
    <w:rsid w:val="00004E2A"/>
    <w:rsid w:val="0001611C"/>
    <w:rsid w:val="000409AD"/>
    <w:rsid w:val="00044CE1"/>
    <w:rsid w:val="00064A93"/>
    <w:rsid w:val="00071F4E"/>
    <w:rsid w:val="00097C31"/>
    <w:rsid w:val="000B4283"/>
    <w:rsid w:val="000D28AD"/>
    <w:rsid w:val="000E4469"/>
    <w:rsid w:val="001170DC"/>
    <w:rsid w:val="001171B9"/>
    <w:rsid w:val="001344B7"/>
    <w:rsid w:val="00175DD8"/>
    <w:rsid w:val="00181A92"/>
    <w:rsid w:val="001E05EB"/>
    <w:rsid w:val="001F7D76"/>
    <w:rsid w:val="002277E9"/>
    <w:rsid w:val="00232B2B"/>
    <w:rsid w:val="00246221"/>
    <w:rsid w:val="00247BC5"/>
    <w:rsid w:val="00255AF6"/>
    <w:rsid w:val="00261FFA"/>
    <w:rsid w:val="002A5245"/>
    <w:rsid w:val="002A6096"/>
    <w:rsid w:val="002B0A9C"/>
    <w:rsid w:val="002C1CFD"/>
    <w:rsid w:val="002C5980"/>
    <w:rsid w:val="002D46BF"/>
    <w:rsid w:val="00303630"/>
    <w:rsid w:val="00311E4A"/>
    <w:rsid w:val="00343B56"/>
    <w:rsid w:val="00350DCA"/>
    <w:rsid w:val="003537FB"/>
    <w:rsid w:val="003543E8"/>
    <w:rsid w:val="00362527"/>
    <w:rsid w:val="003939BA"/>
    <w:rsid w:val="003E7FF6"/>
    <w:rsid w:val="003F1EBB"/>
    <w:rsid w:val="0041277D"/>
    <w:rsid w:val="004162E3"/>
    <w:rsid w:val="0042301D"/>
    <w:rsid w:val="00462152"/>
    <w:rsid w:val="00485A72"/>
    <w:rsid w:val="004963C3"/>
    <w:rsid w:val="004A360E"/>
    <w:rsid w:val="00502475"/>
    <w:rsid w:val="00524672"/>
    <w:rsid w:val="00543FFE"/>
    <w:rsid w:val="00551F05"/>
    <w:rsid w:val="005904D1"/>
    <w:rsid w:val="00590F68"/>
    <w:rsid w:val="005A0357"/>
    <w:rsid w:val="005D22A3"/>
    <w:rsid w:val="005D45EA"/>
    <w:rsid w:val="005F3A07"/>
    <w:rsid w:val="00607E1C"/>
    <w:rsid w:val="00622C48"/>
    <w:rsid w:val="00637E41"/>
    <w:rsid w:val="006610DB"/>
    <w:rsid w:val="006664F9"/>
    <w:rsid w:val="00677F70"/>
    <w:rsid w:val="006A1185"/>
    <w:rsid w:val="00706BDB"/>
    <w:rsid w:val="00716986"/>
    <w:rsid w:val="00736F51"/>
    <w:rsid w:val="00737540"/>
    <w:rsid w:val="0074682F"/>
    <w:rsid w:val="00754E21"/>
    <w:rsid w:val="0076318A"/>
    <w:rsid w:val="00786489"/>
    <w:rsid w:val="007A0E08"/>
    <w:rsid w:val="007A12FF"/>
    <w:rsid w:val="007B3268"/>
    <w:rsid w:val="007B33D1"/>
    <w:rsid w:val="007F4F36"/>
    <w:rsid w:val="008171A7"/>
    <w:rsid w:val="00844755"/>
    <w:rsid w:val="00850F1C"/>
    <w:rsid w:val="00870621"/>
    <w:rsid w:val="00870EC8"/>
    <w:rsid w:val="008A1266"/>
    <w:rsid w:val="008B4EE9"/>
    <w:rsid w:val="008D7C9F"/>
    <w:rsid w:val="008E4651"/>
    <w:rsid w:val="009242A6"/>
    <w:rsid w:val="00947B41"/>
    <w:rsid w:val="0098221D"/>
    <w:rsid w:val="00990E6B"/>
    <w:rsid w:val="009A1A38"/>
    <w:rsid w:val="009B43A8"/>
    <w:rsid w:val="009C1DBB"/>
    <w:rsid w:val="009E2D00"/>
    <w:rsid w:val="00A01EB4"/>
    <w:rsid w:val="00A05BC5"/>
    <w:rsid w:val="00A47B03"/>
    <w:rsid w:val="00A52B6B"/>
    <w:rsid w:val="00A63B2F"/>
    <w:rsid w:val="00AC3974"/>
    <w:rsid w:val="00AD1B40"/>
    <w:rsid w:val="00AF1267"/>
    <w:rsid w:val="00AF4F0E"/>
    <w:rsid w:val="00AF557B"/>
    <w:rsid w:val="00B12DE7"/>
    <w:rsid w:val="00B23691"/>
    <w:rsid w:val="00B45E1A"/>
    <w:rsid w:val="00B56DFC"/>
    <w:rsid w:val="00B6372F"/>
    <w:rsid w:val="00B816B6"/>
    <w:rsid w:val="00B82726"/>
    <w:rsid w:val="00B82E2D"/>
    <w:rsid w:val="00BA23D7"/>
    <w:rsid w:val="00BA72F9"/>
    <w:rsid w:val="00BC4932"/>
    <w:rsid w:val="00BE7037"/>
    <w:rsid w:val="00BF44AD"/>
    <w:rsid w:val="00BF583B"/>
    <w:rsid w:val="00C00336"/>
    <w:rsid w:val="00C12BAE"/>
    <w:rsid w:val="00C64E63"/>
    <w:rsid w:val="00C74A7E"/>
    <w:rsid w:val="00C95D38"/>
    <w:rsid w:val="00CA0689"/>
    <w:rsid w:val="00CA0DCE"/>
    <w:rsid w:val="00CB6520"/>
    <w:rsid w:val="00CC41B4"/>
    <w:rsid w:val="00CE19DD"/>
    <w:rsid w:val="00D01A43"/>
    <w:rsid w:val="00D11104"/>
    <w:rsid w:val="00D25F02"/>
    <w:rsid w:val="00D31E9E"/>
    <w:rsid w:val="00D32D02"/>
    <w:rsid w:val="00D56ADF"/>
    <w:rsid w:val="00D652D6"/>
    <w:rsid w:val="00D67412"/>
    <w:rsid w:val="00D84CB0"/>
    <w:rsid w:val="00DF129A"/>
    <w:rsid w:val="00DF137B"/>
    <w:rsid w:val="00DF5FFC"/>
    <w:rsid w:val="00E52BF6"/>
    <w:rsid w:val="00E54719"/>
    <w:rsid w:val="00E61C6E"/>
    <w:rsid w:val="00E65B75"/>
    <w:rsid w:val="00E717C4"/>
    <w:rsid w:val="00E81792"/>
    <w:rsid w:val="00E83502"/>
    <w:rsid w:val="00EB1D29"/>
    <w:rsid w:val="00ED471D"/>
    <w:rsid w:val="00EF44C2"/>
    <w:rsid w:val="00F049D0"/>
    <w:rsid w:val="00F06A94"/>
    <w:rsid w:val="00F15604"/>
    <w:rsid w:val="00F31C15"/>
    <w:rsid w:val="00F427D0"/>
    <w:rsid w:val="00F56F7B"/>
    <w:rsid w:val="00FA3E7E"/>
    <w:rsid w:val="00FB52AA"/>
    <w:rsid w:val="00FD2C3E"/>
    <w:rsid w:val="00FE2AE9"/>
    <w:rsid w:val="00FF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90FE0-758D-42E8-830F-EFAA9FE5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ad">
    <w:name w:val="lead"/>
    <w:basedOn w:val="a"/>
    <w:rsid w:val="00EF44C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F44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44C2"/>
    <w:rPr>
      <w:b/>
      <w:bCs/>
    </w:rPr>
  </w:style>
  <w:style w:type="character" w:styleId="a5">
    <w:name w:val="Hyperlink"/>
    <w:basedOn w:val="a0"/>
    <w:uiPriority w:val="99"/>
    <w:semiHidden/>
    <w:unhideWhenUsed/>
    <w:rsid w:val="00EF44C2"/>
    <w:rPr>
      <w:color w:val="0000FF"/>
      <w:u w:val="single"/>
    </w:rPr>
  </w:style>
  <w:style w:type="paragraph" w:styleId="a6">
    <w:name w:val="List Paragraph"/>
    <w:basedOn w:val="a"/>
    <w:uiPriority w:val="34"/>
    <w:qFormat/>
    <w:rsid w:val="008D7C9F"/>
    <w:pPr>
      <w:ind w:left="720"/>
      <w:contextualSpacing/>
    </w:pPr>
  </w:style>
  <w:style w:type="paragraph" w:styleId="a7">
    <w:name w:val="Balloon Text"/>
    <w:basedOn w:val="a"/>
    <w:link w:val="a8"/>
    <w:uiPriority w:val="99"/>
    <w:semiHidden/>
    <w:unhideWhenUsed/>
    <w:rsid w:val="00551F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1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3544">
      <w:bodyDiv w:val="1"/>
      <w:marLeft w:val="0"/>
      <w:marRight w:val="0"/>
      <w:marTop w:val="0"/>
      <w:marBottom w:val="0"/>
      <w:divBdr>
        <w:top w:val="none" w:sz="0" w:space="0" w:color="auto"/>
        <w:left w:val="none" w:sz="0" w:space="0" w:color="auto"/>
        <w:bottom w:val="none" w:sz="0" w:space="0" w:color="auto"/>
        <w:right w:val="none" w:sz="0" w:space="0" w:color="auto"/>
      </w:divBdr>
      <w:divsChild>
        <w:div w:id="1031764703">
          <w:marLeft w:val="0"/>
          <w:marRight w:val="0"/>
          <w:marTop w:val="0"/>
          <w:marBottom w:val="0"/>
          <w:divBdr>
            <w:top w:val="none" w:sz="0" w:space="0" w:color="auto"/>
            <w:left w:val="none" w:sz="0" w:space="0" w:color="auto"/>
            <w:bottom w:val="none" w:sz="0" w:space="0" w:color="auto"/>
            <w:right w:val="none" w:sz="0" w:space="0" w:color="auto"/>
          </w:divBdr>
        </w:div>
        <w:div w:id="634456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EA154-8E54-4276-AC22-6925B377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5444</Words>
  <Characters>31033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ZhaboMA</cp:lastModifiedBy>
  <cp:revision>3</cp:revision>
  <cp:lastPrinted>2018-06-26T07:13:00Z</cp:lastPrinted>
  <dcterms:created xsi:type="dcterms:W3CDTF">2018-07-23T11:40:00Z</dcterms:created>
  <dcterms:modified xsi:type="dcterms:W3CDTF">2018-07-23T12:17:00Z</dcterms:modified>
</cp:coreProperties>
</file>