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FA" w:rsidRPr="007C3CFA" w:rsidRDefault="004862E7" w:rsidP="007C3CFA">
      <w:pPr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AB4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CFA" w:rsidRPr="007C3CFA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С 7 сентября скорректированы правила выплаты авторам вознаграждения при перепродаже их произведений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10 сентября 2018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7 сентября 2018 года вступили в силу поправки в Правила выплаты автору вознаграждения при перепродаже оригиналов произведений изобразительного искусства, авторских рукописей (автографов) литературных и музыкальных произведений (далее – Правила). Это обусловлено изменением нормы Гражданского кодекса о праве следования (постановление Правительства РФ от 28 августа 2018 г. № 1020).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В Правилах теперь детально урегулировано, кто (посредник, продавец или покупатель) и в каких случаях обязан направить уведомление о перепродаже оригинала произведения в адрес лица, осуществляющего сбор вознаграждения.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Кроме того, предусмотрено, что 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юрлица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и ИП, участвовавшие в перепродаже оригинала произведения в качестве посредника, покупателя или продавца, обязаны уведомить о факте перепродажи аккредитованную организацию, осуществляющую коллективное управление правом следования. Установлены требования к содержанию такого уведомления, порядок и сроки его направления и рассмотрения.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Предусмотрено, </w:t>
      </w:r>
      <w:proofErr w:type="gramStart"/>
      <w:r w:rsidRPr="007C3CFA">
        <w:rPr>
          <w:rFonts w:ascii="Times New Roman" w:eastAsia="Calibri" w:hAnsi="Times New Roman" w:cs="Times New Roman"/>
          <w:sz w:val="26"/>
          <w:szCs w:val="26"/>
        </w:rPr>
        <w:t>что</w:t>
      </w:r>
      <w:proofErr w:type="gram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если аккредитованная организация обладает сведениями о совершенной перепродаже, но уведомление не было ею получено в установленный срок, она вправе самостоятельно направить запрос уведомителю.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Урегулированы вопросы, связанные с предоставлением аккредитованной организации на основании ее запроса сведений, необходимых для осуществления сбора, распределения и выплаты вознаграждения (о цене перепродажи и продавце произведения).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Установлены срок направления продавцу информации о сумме вознаграждения, подлежащей уплате, и срок выплаты вознаграждения.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На аккредитованную организацию возложена обязанность по поиску получателя вознаграждения, если информация о нем у нее отсутствует. Предусмотрены способы, которыми должен осуществляться поиск.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Если у аккредитованной организации нет сведений о получателе вознаграждения, отказавшемся от управления аккредитованной организацией его правом следования, его поиском будет заниматься уведомитель.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Посредникам предоставлена возможность взять на себя обязанность по выплате вознаграждения на основании соглашения с продавцом оригиналов произведений.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6" w:anchor="ixzz5RLOqjkZm" w:history="1">
        <w:r w:rsidRPr="007C3CF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http://www.garant.ru/news/1217599/#ixzz5RLOqjkZm</w:t>
        </w:r>
      </w:hyperlink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7C3CFA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Прокуратура РФ: плановые проверки бизнеса незаконны, если надзорный орган не утвердил чек-листы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10 сентября 2018 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Прокуратура назвала недопустимыми плановые проверки бизнеса (письмо Генеральной прокуратуры РФ от 9 февраля 2018 г. № 76/2-156-2018), если: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проверку нужно проводить с использованием чек-листа, а таковой еще не утвержден, либо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проверяемые лица не отнесены к определенной категории риска (классу опасности), хотя Правительство РФ уже ввело риск-ориентированный подход (далее – РОП) в соответствующем надзоре (проверочные листы (списки контрольных вопросов), применяемые в ходе плановых проверок).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lastRenderedPageBreak/>
        <w:t>Правовое обоснование для таких выводов следующее.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Федеральный закон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– Закон № 294-ФЗ) допускает, что Положением о виде федерального госконтроля/надзора может быть предусмотрена обязанность использования чек-листа должностным лицом контролирующего органа при плановой проверке. Чек-листы разрабатываются и утверждаются самим надзорным органом. Следовательно, если чек-листов еще нет (не утверждены), а обязанность их использования уже есть (предусмотрена положением о виде госконтроля/надзора), то в ходе осуществления такого надзора не допускается проведение плановых проверок.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Ст. 8.1 Закона № 294-ФЗ обязывает применять риск-ориентированный подход при организации отдельных видов контроля (надзора), определенных Правительством РФ. В силу ч. 9.3 ст. 9 Закона № 294-ФЗ при осуществлении этих видов надзора периодичность плановых проверок устанавливает Правительство РФ, и она уже установлена постановлением Правительства РФ от 17 августа 2016 г. № 806, притом зависит исключительно от категории риска/класса опасности, к которым отнесена деятельность поднадзорных субъектов или используемые ими поднадзорные объекты. Объекты низкой категории риска (6 класса опасности) вообще не подлежат плановым проверкам, а все поднадзорные объекты, которым не присвоены определенные категории риска/ классы опасности, автоматически считаются отнесенными к самым низким категориям риска/классам опасности. Для видов надзора, которые осуществляются с применением РОП, возможность проведения плановых проверок без категорирования подконтрольных объектов законодательством не предусмотрена.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Проведение таких проверок может рассматриваться как несоблюдение установленной периодичности проведения плановой проверки – то есть грубое нарушение, влекущее признание результатов такой проверки недействительными и их отмену.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В настоящее время распространено как отсутствие утвержденных чек-листов для проведения плановых проверок, так и отсутствие утвержденных критериев для определения категорий риска/ классов опасности в РОП-надзорах.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7" w:anchor="ixzz5RJOv0xjO" w:history="1">
        <w:r w:rsidRPr="007C3CF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http://www.garant.ru/news/1217564/#ixzz5RJOv0xjO</w:t>
        </w:r>
      </w:hyperlink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7C3CFA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Перечень дорогостоящих автомобилей для исчисления транспортного налога скорректирован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10 сентября 2018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ФНС России сообщает, что Перечень легковых автомобилей средней стоимостью от 3 млн руб., предназначенный для расчета транспортного налога в 2018 году, уточнен 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Минпромторгом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России и опубликован на сайте 20 августа. При исчислении авансовых платежей по налогу в 2018 году ФНС России требует использовать обновленный перечень. Однако не уточняет, с какого периода это следует делать (письмо ФНС России от 21 августа 2018 г. № СД-4-21/16188@).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Напомним, что в отношении легковых автомобилей средней стоимостью от 3 млн руб. исчисление транспортного налога производится с учетом повышающего коэффициента. Величина коэффициента зависит от средней стоимости автомобиля и срока, прошедшего с года его выпуска. С 2018 года снижен повышающий коэффициент по автомобилям стоимостью от 3 до 5 млн руб. первых двух лет </w:t>
      </w:r>
      <w:r w:rsidRPr="007C3CFA">
        <w:rPr>
          <w:rFonts w:ascii="Times New Roman" w:eastAsia="Calibri" w:hAnsi="Times New Roman" w:cs="Times New Roman"/>
          <w:sz w:val="26"/>
          <w:szCs w:val="26"/>
        </w:rPr>
        <w:lastRenderedPageBreak/>
        <w:t>эксплуатации (п. 68 ст. 2 Федерального закона от 27 ноября 2017 г. № 335-ФЗ "О внесении изменений в части первую и вторую Налогового кодекса Российской Федерации и отдельные законодательные акты Российской Федерации"). Ранее он составлял 1,5 для первого года, 1,3 – для второго. Теперь для всех авто этой ценовой категории младше 3 лет предусмотрен единый коэффициент – 1,1.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8" w:anchor="ixzz5RJRw3j00" w:history="1">
        <w:r w:rsidRPr="007C3CF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http://www.garant.ru/news/1217591/#ixzz5RJRw3j00</w:t>
        </w:r>
      </w:hyperlink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7C3CFA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Не исключено, что операторов связи обяжут передавать данные о клиентах в банки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10 сентября 2018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Член Совета Федерации Людмила Бокова предложила установить правило, согласно которому операторы связи будут обязаны передавать в кредитные организации сведения о заменах SIM-карты, приостановлении оказания услуг телефонной связи, расторжении соответствующего договора, включении или выключении переадресации голосовых вызовов, а также текстовых сообщений.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При этом предполагается внести уточнение, что информация о статусе обслуживания абонента имеет технический характер и не содержит сведений, относящихся к персональным данным, поскольку не позволяет идентифицировать физлицо. В связи с этим его согласие на передачу таких сведений требоваться не будет.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Необходимость нововведения объясняется тем, что в настоящий момент кредитная организация обязана приостановить направление клиенту сообщений (кодов) о принятии к исполнению распоряжений, в случае если ей стало известно о признаках, указывающих на изменение получателя информации или отправителя сообщений (кодов подтверждений) с номера телефона, указанного в договоре с клиентом. К таким признакам может относиться информация о статусе обслуживания, в которую, в частности, о смене SIM-карты. А у операторов связи нет права передавать указанные сведения кредитным организациям, что снижает эффективность борьбы последних с мошенническими действиями.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9" w:anchor="ixzz5RJSbJXBT" w:history="1">
        <w:r w:rsidRPr="007C3CF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http://www.garant.ru/news/1217551/#ixzz5RJSbJXBT</w:t>
        </w:r>
      </w:hyperlink>
    </w:p>
    <w:p w:rsidR="007C3CFA" w:rsidRPr="007C3CFA" w:rsidRDefault="007C3CFA" w:rsidP="007C3CF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7C3CFA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Размер прожиточного минимума во II квартале этого года на душу населения увечился на 406 руб.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11 сентября 2018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Минтруд России установил размер прожиточного минимума на душу населения во II квартале текущего года, он составил 10 444 руб., что на 4% больше, чем в I квартале этого года (10 038 руб.). На 4% возросла и его величина для трудоспособного населения – 11 280 руб. против 10 842 руб. в I квартале (приказ Минтруда России от 24 августа 2018 г. № 550н 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 квартал 2018 года"1). Прожиточный минимум увеличен на 3,8% для пенсионеров до 8583 руб., а также на 4,3% для детей – до 10 390 руб.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С начала года прожиточный минимум на душу населения вырос на 658 руб., для трудоспособного населения – на 707 руб., для пенсионеров – на 505 руб., для детей – на 787 руб. Для расчета использовались размеры прожиточного минимума за IV квартал прошлого года и II квартала текущего.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lastRenderedPageBreak/>
        <w:t>Прожиточный минимум в целом по стране используется для оценки уровня жизни населения при разработке и реализации социальной политики и федеральных социальных программ, для обоснования МРОТ, а также для определения устанавливаемых на федеральном уровне размеров стипендий, пособий и других социальных выплат (п. 1 ст. 2 Федерального закона от 24 октября 1997 г. № 134-ФЗ "О прожиточном минимуме в Российской Федерации").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0" w:anchor="ixzz5RLVHZUFP" w:history="1">
        <w:r w:rsidRPr="007C3CF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http://www.garant.ru/news/1217717/#ixzz5RLVHZUFP</w:t>
        </w:r>
      </w:hyperlink>
    </w:p>
    <w:p w:rsidR="007C3CFA" w:rsidRPr="007C3CFA" w:rsidRDefault="007C3CFA" w:rsidP="007C3CF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  <w:lang w:eastAsia="ru-RU"/>
        </w:rPr>
      </w:pPr>
      <w:r w:rsidRPr="007C3CFA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  <w:lang w:eastAsia="ru-RU"/>
        </w:rPr>
        <w:t>На смену аптечки "анти-СПИД" придет единая укладка экстренной профилактики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3CFA">
        <w:rPr>
          <w:rFonts w:ascii="Times New Roman" w:eastAsia="Calibri" w:hAnsi="Times New Roman" w:cs="Times New Roman"/>
          <w:sz w:val="26"/>
          <w:szCs w:val="26"/>
          <w:lang w:eastAsia="ru-RU"/>
        </w:rPr>
        <w:t>11 сентября 2018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3C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Минздрав России полагает необходимым, чтобы все 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  <w:lang w:eastAsia="ru-RU"/>
        </w:rPr>
        <w:t>медорганизации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их подразделения были обеспечены одинаковыми укладками для экстренной профилактики парентеральных инфекций. С этой целью разработаны1 соответствующие поправки в порядки оказания медпомощи (конкретно – в соответствующие стандарты оснащения структурных подразделений, в которых существует риск медицинской аварии и/или загрязнения кожи, слизистых и раневых поверхностей инфицированным биоматериалом):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3CFA">
        <w:rPr>
          <w:rFonts w:ascii="Times New Roman" w:eastAsia="Calibri" w:hAnsi="Times New Roman" w:cs="Times New Roman"/>
          <w:sz w:val="26"/>
          <w:szCs w:val="26"/>
          <w:lang w:eastAsia="ru-RU"/>
        </w:rPr>
        <w:t>для тех подразделений, в которых подобного набора не имелось, стандарт оснащения будет расширен, и наличие укладки станет обязательным;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3CFA">
        <w:rPr>
          <w:rFonts w:ascii="Times New Roman" w:eastAsia="Calibri" w:hAnsi="Times New Roman" w:cs="Times New Roman"/>
          <w:sz w:val="26"/>
          <w:szCs w:val="26"/>
          <w:lang w:eastAsia="ru-RU"/>
        </w:rPr>
        <w:t>во всех остальных разнообразные аптечки "анти-СПИД", наборы, комплекты и укладки для профилактики заражения будут заменены "Укладкой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3C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ГАРАНТ.РУ: </w:t>
      </w:r>
      <w:hyperlink r:id="rId11" w:anchor="ixzz5RLRRJF1D" w:history="1">
        <w:r w:rsidRPr="007C3CF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http://www.garant.ru/news/1217751/#ixzz5RLRRJF1D</w:t>
        </w:r>
      </w:hyperlink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7C3CFA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Дамские сумочки, костюм и верхнюю одежду по-прежнему можно провозить в самолете сверх нормы ручной клади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13 сентября 2018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Авиаперевозчик не смог оспорить п. 135 Федеральных авиационных правил о бесплатном провозе рюкзака (весом и размерами в пределах лимитов авиакомпании) и сумки, портфеля, цветов, верхней одежды, костюма в портпледе (вне специальных лимитов), утв. приказом Минтранса России от 28 июня 2007 г. № 82.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Административный иск о признании указанной нормы частично недействующей основывался на следующем: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положения якобы противоречат п. 3 ст. 786 Гражданского кодекса, который разрешает пассажиру провозить с собой бесплатно ручную кладь в пределах установленных норм;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положения якобы противоречат и подп. 2.1 п. 2 ст. 106 Воздушного кодекса, который разрешает пассажиру бесплатный провоз ручной клади в пределах нормы, которая устанавливается перевозчиком в соответствии с ФАП, утвержденными на основании требований эксплуатационной документации воздушного судна, и позволяет размещать ручную кладь в пассажирской кабине (салоне) воздушного судна;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положения противоречат п. 133 самих ФАП № 82, который относит к ручной клади лишь вещи, вес и габариты которых установлены перевозчиком и позволяют безопасно разместить их в салоне воздушного судна;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lastRenderedPageBreak/>
        <w:t>в целом оспариваемые положения, во-первых, неправомерно возлагают на перевозчика дополнительную обязанность принимать к перевозке вещи сверх нормы бесплатного провоза ручной клади, а во-вторых, противоречат требованиям безопасности полётов, соблюдение которых является одной из основных обязанностей перевозчика (решение Верховного Суда Российской Федерации от 7 августа 2018 г. № АКПИ18-530).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ВС РФ не согласился с указанными доводами: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оспариваемые положения не противоречат упомянутым актам более высокой юридической силы и призваны обеспечить необходимый уровень обслуживания пассажиров;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режим ручной клади (то есть провоз в салоне, бесплатно) распространён на личные вещи конкретного пассажира, которые находятся при нём или могут быть ему необходимы при воздушной перевозке (например, чтобы переодеться "по погоде" в месте прилета);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при этом оспариваемая норма не предполагает, что пассажир без согласия перевозчика может бесплатно провезти в салоне (сверх пределов норм ручной клади) сразу несколько комплектов верхней одежды, костюмов в портпледе или одновременно и рюкзак, и дамскую сумку, и портфель;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то, что ФАП не устанавливают вес и габариты разрешённых к провозу в качестве ручной клади дамской сумки, портфеля, букета цветов, не значит, что пассажир может провозить в качестве таковых какие-либо иные предметы, которые очевидно не являются малогабаритными и не помещаются в местах провоза ручной клади без ущерба для реализации прав иных пассажиров или требований по обеспечению безопасности полётов;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оспариваемые положения нужно толковать и применять с учётом презумпции добросовестности участников гражданских правоотношений и разумности их действий. Никто из участников договора воздушной перевозки пассажира не должен злоупотреблять правом.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Дамские сумочки, портфели, цветы, костюмы в портпледах и еще некоторые вещи при пассажире хотят вообще освободить от взвешивания.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2" w:anchor="ixzz5RJU9Igo3" w:history="1">
        <w:r w:rsidRPr="007C3CF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http://www.garant.ru/news/1218277/#ixzz5RJU9Igo3</w:t>
        </w:r>
      </w:hyperlink>
    </w:p>
    <w:p w:rsidR="007C3CFA" w:rsidRPr="007C3CFA" w:rsidRDefault="007C3CFA" w:rsidP="007C3CF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7C3CFA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При продаже питьевой воды на розлив в тару продавца применять ККТ не требуется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14 сентября 2018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При реализации питьевой воды в тару продавца с включением стоимости тары в стоимость питьевой воды применение ККТ не требуется. Однако в случае реализации тары без разлива питьевой воды или готовой продукции у 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юрлица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или ИП возникает обязанность по использованию онлайн-кассы в соответствии с Федеральным законом от 22 мая 2003 г. № 54-ФЗ "О применении ККТ при осуществлении расчетов в Российской Федерации" (далее – закон о ККТ). Такие разъяснения содержатся в письме ФНС России от 5 сентября 2018 г. № ЕД-4-20/17285@ № "О рассмотрении обращения".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Налоговое ведомство указало, что 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юрлица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и ИП с учетом специфики деятельности или особенностей местонахождения могут не применять ККТ при торговле в киосках мороженым, разливными безалкогольными напитками, молоком и питьевой водой (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абз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. 8 п. 2 ст. 2 Закона о ККТ). Но данное положение не распространяется на 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lastRenderedPageBreak/>
        <w:t>юрлиц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и ИП, если они используют автоматические устройства для расчетов или торгуют подакцизными товарами.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Исключением являются 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юрлица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и ИП, которые торгуют питьевой водой в розлив (п. 8 ст. 2 Закона о ККТ). К указанным устройствам относятся, например, 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валидаторы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Юрлица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и ИП могут производить расчеты без применения ККТ при торговле питьевой водой в розлив в тару продавца даже с использованием автоматических средств расчета.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3" w:anchor="ixzz5RLYlDq9c" w:history="1">
        <w:r w:rsidRPr="007C3CF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http://www.garant.ru/news/1218524/#ixzz5RLYlDq9c</w:t>
        </w:r>
      </w:hyperlink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7C3CFA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ВС РФ: взыскание стоимости работ, носящих экстренный характер и выполненных в отсутствие контракта, допускается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14 сентября 2018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Автодорожное предприятие в отсутствие контракта, заключенного с государственным заказчиком, выполнило работы по ликвидации последствий циклона и по содержанию автомобильных дорог. Заказчик в оплате выполненных работ предприятию отказал. В связи с этим исполнитель работ обратился в арбитражный суд с иском к заказчику о взыскании стоимости выполненных работ (определение Верховного Суда Российской Федерации от 10 августа 2018 г. № 303-ЭС18-11408).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Не согласившись с решениями суда первой инстанции и суда округа, которыми иск был удовлетворен, заказчик обратился в ВС РФ с жалобой.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ВС РФ отказал заявителю в передаче кассационной жалобы для рассмотрения в судебном заседании Судебной коллегии по экономическим спорам ВС РФ, отметив, что работы, выполненные предприятием, носили экстренный характер, были выполнены как социально-значимые, необходимые к производству в интересах населения, и не могли быть отложены до заключения сторонами в установленном порядке соответствующего государственного контракта. При этом факт выполнения работ подтвержден актами выполненных работ по форме КС-2 и справками по форме КС-3, которые заказчик получил, но не возвратил, не подписал и каких-либо возражений по ним не заявил.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В связи с этим Суд посчитал доказанными наличие сложившихся между сторонами отношений по выполнению работ для государственных нужд и неуплату ответчиком стоимости выполненных работ.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4" w:anchor="ixzz5RLbKEtLU" w:history="1">
        <w:r w:rsidRPr="007C3CF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http://www.garant.ru/news/1218493/#ixzz5RLbKEtLU</w:t>
        </w:r>
      </w:hyperlink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7C3CFA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Банк России повысил ключевую ставку до 7,5%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14 сентября 2018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Решение поднять ключевую ставку на 0,25% Совет директоров регулятора объясняет изменением внешних условий, произошедших с предыдущего заседания 27 июля текущего года. Банк России поясняет, что эти изменения существенно усилили 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проинфляционные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риски, и теперь годовая инфляция по итогам следующего года прогнозируется в размере 5-5,5% с возвращением к 4% в 2020 году. Новый размер ставки начнет применяться с 17 сентября. Регулятор также отмечает, что возвращение годовой инфляции к 4% происходит быстрее, чем ожидалось ранее. Это объясняется повышением до 1,9% годового темпа прироста цен на продовольственные товары. Причинами такого роста стали в том числе изменение баланса спроса и предложения на отдельных продовольственных рынках и подстройка цен к произошедшему с начала года ослаблению рубля.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lastRenderedPageBreak/>
        <w:t>К вопросу об уровне ключевой ставки Совет директоров Банка России планирует вернуться 26 октября.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Напомним, что действующий размер ставки был установлен 23 марта текущего года, а затем трижды сохранялся на прежнем уровне: 27 апреля, 15 июня и 27 июля.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5" w:anchor="ixzz5RLbkogHK" w:history="1">
        <w:r w:rsidRPr="007C3CF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http://www.garant.ru/news/1218425/#ixzz5RLbkogHK</w:t>
        </w:r>
      </w:hyperlink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7C3CFA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Разработан порядок проведения анализа Банком России финансового положения страховой организации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14 сентября 2018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Представленным для независимой антикоррупционной экспертизы проектом указания Банка предлагается установить: 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порядок оформления анализа Банком России финансового положения страховой организации;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сроки его проведения;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требования к лицам, осуществляющим анализ;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полномочия, права и обязанности представителей оцениваемой организации;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порядок оформления результатов анализа.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Предполагается, что анализ будет проводиться группой представителей, в состав которой включат представителей Банка России и (или) представителей ООО "Управляющая компания Фонда консолидации банковского сектора" (далее – Управляющая компания). 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Планируется, что приказ регулятора о проведении анализа будет включать наименование федерального закона и ссылку на его норму, на основании которой принято решение о проведении анализа, дату начала ее проведения, сведения о составе группы представителей с указанием ФИО, занимаемых должностей и т. д. Причем такой приказ не будет публиковаться, а в срок не позднее одного рабочего дня с даты его подписания будет доводиться до Управляющей компании, в случае, если ее представители включены в состав соответствующей группы. Предполагается, что по прибытии в страховую организацию руководитель группы представителей будет вручать копию такого приказа под роспись с указанием даты и времени вручения.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Согласно </w:t>
      </w:r>
      <w:proofErr w:type="gramStart"/>
      <w:r w:rsidRPr="007C3CFA">
        <w:rPr>
          <w:rFonts w:ascii="Times New Roman" w:eastAsia="Calibri" w:hAnsi="Times New Roman" w:cs="Times New Roman"/>
          <w:sz w:val="26"/>
          <w:szCs w:val="26"/>
        </w:rPr>
        <w:t>проекту указания</w:t>
      </w:r>
      <w:proofErr w:type="gram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анализ будет проводиться с использованием следующих документов и информации: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документов и информации, представленных страховой организацией группе представителей по ее запросам;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данных бухгалтерского учета и отчетности такой организации;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данных первичных учетных документов организации, аудиторских и актуарных заключений, отчетов оценщика в отношении имущества и (или) имущественных прав страховой организации;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результатов проведенных проверок организации;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результатов оценки активов, пассивов и страховых резервов страховой организации.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Группа представителей в рамках проведения анализа должна будет проанализировать активы и обязательства страховой организации, формирование величины страховых резервов, рассчитать величину ее собственных средств (капитала), нормативное соотношение собственных средств (капитала) и принятых обязательств, а также определить стоимость активов, в которые инвестированы средства страховых резервов и собственные средства (капитал) страховой организации.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lastRenderedPageBreak/>
        <w:t>По результатам анализа группа представителей будет составлять отчет на бумажном носителе в одном экземпляре, содержащий выводы о целесообразности осуществления Банком России мер по предупреждению банкротства страховой организации.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Независимая антикоррупционная экспертиза документа завершится 20 сентября.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6" w:anchor="ixzz5RLcQMHBZ" w:history="1">
        <w:r w:rsidRPr="007C3CF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http://www.garant.ru/news/1218396/#ixzz5RLcQMHBZ</w:t>
        </w:r>
      </w:hyperlink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7C3CFA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Штраф за повторное нарушение субъекту МСП нельзя заменить предупреждением, даже если его вина в предыдущем еще не установлена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14 сентября 2018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Норма о замене штрафа предупреждением субъектам МСП за впервые совершенное административное правонарушение, выявленное надзорным органом (ст. 4.1.1 КоАП), не может применяться в случае повторного нарушения, даже если постановление о привлечении к административной ответственности по предшествующему правонарушению еще не вступило в силу. Указанная правовая позиция высказана Судебной коллегией по экономическим спорам Верховного Суда Российской Федерации в деле по оспариванию штрафа за отсутствие карты маршрута регулярных перевозок (ч. 4 ст. 11.33 КоАП РФ).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ИП-нарушитель не отрицал события правонарушения, но обратил внимание суда на то, что таковое не имеет ни негативных последствий, ни значительной угрозы общественным отношениям, поэтому является малозначительным; кроме того, ИП является субъектом малого предпринимательства, совершил правонарушение впервые, раскаивается, а также имеет на иждивении двух несовершеннолетних детей (определение ВС РФ от 5 сентября 2018 г. № 303-АД18-5207).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Арбитражные суды всех трех инстанций единодушно пришли к выводу, что в рассматриваемом случае следует применить правила ст. 4.1.1 КоАП РФ и заменить предпринимателю наказание в виде административного штрафа на предупреждение. По мнению судов, совокупность необходимых условий имеется: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- нарушитель относится к субъектам малого бизнеса, что подтверждено сведениями из Единого реестра субъектов малого и среднего предпринимательства,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- нарушение выявлено в ходе проведения мероприятий по государственному контролю и надзору за осуществлением перевозок,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- правонарушение совершено предпринимателем впервые. Во всяком случае, в материалах дела нет сведений о вступивших в законную силу (на дату совершения правонарушения) иных постановлений, которыми ИП ранее привлекался к ответственности за совершение однородных правонарушений.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Надзорный орган обжаловал эти постановления в ВС РФ. В жалобе указывалось на то, что спорное нарушение было вовсе не единственным: оказывается, ровно за три дня до совершения спорного нарушения ИП уже "попадался" на том же самом: использовал автобус без карты маршрута регулярных перевозок и без заказа-наряда. Правда, постановление </w:t>
      </w:r>
      <w:proofErr w:type="gramStart"/>
      <w:r w:rsidRPr="007C3CFA">
        <w:rPr>
          <w:rFonts w:ascii="Times New Roman" w:eastAsia="Calibri" w:hAnsi="Times New Roman" w:cs="Times New Roman"/>
          <w:sz w:val="26"/>
          <w:szCs w:val="26"/>
        </w:rPr>
        <w:t>по этому</w:t>
      </w:r>
      <w:proofErr w:type="gram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– более раннему – нарушению еще не вступило в силу: оно обжалуется в рамках другого дела.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На этом основании ВС РФ отменил все нижестоящие акты арбитражных судов и оставил в силе "штрафное" постановление надзорного органа. Вот почему: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- ИП совершил "первое" однородное административное правонарушение за три дня до "второго", которое являлось предметом рассмотрения по настоящему делу;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- тот факт, что он его совершил, подтверждается постановлением административного органа о привлечении к административной ответственности;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lastRenderedPageBreak/>
        <w:t>- это постановление пока не вступило в законную силу; однако статьи 4.1.1 и 3.4 КоАП РФ не содержат условий, в соответствии с которыми оценка возможности применения предупреждения по последующему правонарушению зависит от вступления в силу постановления о привлечении к административной ответственности по предшествующему правонарушению.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Указанная точка зрения может быть подвергнута критике. В частности, ст. 1.5 КоАП РФ, закрепляя презумпцию невиновности в качестве общего принципа административно-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деликтного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законодательства, прямо указывает, что лицо подлежит административной ответственности только за те административные правонарушения, в отношении которых установлена его вина (часть 1); лицо, в отношении которого ведется производство по делу об административном правонарушении, считается невиновным, пока его вина не будет доказана в предусмотренном законом порядке и установлена вступившим в законную силу постановлением судьи, органа, должностного лица, рассмотревших дело (часть 2).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Конституционный Суд Российской Федерации в постановлении от 10 февраля 2017 г. № 2-П раскритиковал "формально-догматический подход", согласно которому для квалификации противоправного деяния по ст. 212.1 Уголовного кодекса вовсе не требуется административной 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наказанности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лица по ст. 20.2 КоАП РФ, а достаточно установления самих фактов его привлечения к административной ответственности на основании данной статьи более двух раз, подтвержденных соответствующими судебными актами, пусть даже и не вступившими в законную силу (Постановление КС РФ от 10 февраля 2017 г. № 2-П).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7" w:anchor="ixzz5RLdF6fdn" w:history="1">
        <w:r w:rsidRPr="007C3CF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http://www.garant.ru/news/1218399/#ixzz5RLdF6fdn</w:t>
        </w:r>
      </w:hyperlink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7C3CFA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Казначейство России обобщило ошибки, из-за которых платежи попадают в невыясненные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14 сентября 2018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При уплате налогов (сборов) в бюджетную систему РФ большое значение имеет правильность заполнения платежных поручений. Если они оформлены с ошибками, то денежные средства налогоплательщиков зачисляются органами казначейства в разряд "невыясненных" (письмо Федерального казначейства от 3 августа 2018 г. № 07-05-04/16453).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Федеральное казначейство обобщило наиболее распространенные ошибки, из-за которых платежи чаще всего попадают в невыясненные. К ним, в частности, относятся: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- отсутствие или некорректное указание в реквизитах расчетного документа "ИНН" и "КПП" получателя значения "ИНН" и "КПП" администратора доходов бюджета;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- отсутствие или некорректное указание в реквизите "104" расчетного документа кода бюджетной классификации доходов;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- отсутствие или некорректное указание в реквизите "105" расчетного документа кода ОКТМО.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В случае необходимости возврата или уточнения платежей в бюджет, плательщику необходимо обращаться к администратору доходов бюджета с письменным заявлением.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8" w:anchor="ixzz5RLeCHz2J" w:history="1">
        <w:r w:rsidRPr="007C3CF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http://www.garant.ru/news/1218402/#ixzz5RLeCHz2J</w:t>
        </w:r>
      </w:hyperlink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7C3CFA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Минфин России рассказал о требованиях, которые необходимо учитывать при разделении расходов на прямые и косвенные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lastRenderedPageBreak/>
        <w:t>14 сентября 2018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Налогоплательщик должен обоснованно выбирать расходы, формирующие в налоговом учете стоимость произведенной и реализованной продукции. Это означает, что механизм распределения затрат на производство и реализацию должен содержать экономически обоснованные показатели, обусловленные технологическим процессом. При этом отдельные затраты, связанные с производством и реализацией товаров (услуг, работ), можно отнести в состав косвенных расходов. Но только при отсутствии реальной возможности отнести указанные затраты к прямым расходам, применив при этом экономически обоснованные показатели. Финансисты сделали такой вывод по результатам анализа ст. 252, ст. 318 и ст. 319 Налогового кодекса (письмо Департамента налоговой и таможенной политики Минфина России от 5 сентября 2018 г. № 03-03-06/1/63428).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Ведомство отметило, что суммы косвенных расходов на производство и реализацию в полном объеме относятся к расходам текущего отчетного (налогового) периода, в котором они осуществлены с учетом требований норм НК РФ, например, п. 1 ст. 272 НК РФ. В то время как прямые расходы относятся к текущему отчетному (налоговому) периоду лишь по мере реализации товаров, услуг и работ, в стоимости которых они учтены.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Пречень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прямых расходов является открытым и определяется в учетной политике для целей налогообложения самостоятельно, как правило, главным бухгалтером. Они должны быть связаны с производством товаров, оказанием услуг, выполнением работ. К косвенным расходам относятся все иные суммы расходов, за исключением внереализационных (ст. 265, п. 1 ст. 318 НК РФ).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По общему правилу расходы должны быть экономически оправданы, подтверждены документально и направлены на получение дохода (п. 1 ст. 252 НК РФ).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9" w:anchor="ixzz5RLaWzrFH" w:history="1">
        <w:r w:rsidRPr="007C3CF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http://www.garant.ru/news/1218494/#ixzz5RLaWzrFH</w:t>
        </w:r>
      </w:hyperlink>
    </w:p>
    <w:p w:rsidR="007C3CFA" w:rsidRPr="007C3CFA" w:rsidRDefault="007C3CFA" w:rsidP="007C3CF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7C3CFA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В Госдуме пришли к выводу о необходимости индивидуализированных тарифов ОСАГО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14 сентября 2018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C3CFA">
        <w:rPr>
          <w:rFonts w:ascii="Times New Roman" w:eastAsia="Calibri" w:hAnsi="Times New Roman" w:cs="Times New Roman"/>
          <w:sz w:val="26"/>
          <w:szCs w:val="26"/>
        </w:rPr>
        <w:t>В нижней парламента</w:t>
      </w:r>
      <w:proofErr w:type="gram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состоялись слушания с участием представителей Правительства РФ, Банка России, страховщиков и общественных организаций, посвященные реформированию ОСАГО. Председатель Комитета Госдумы по финансовому рынку Анатолий Аксаков обозначил необходимость установления справедливой системы оплаты полисов. "Тарифы, которые применяются сегодня к 39 млн владельцам полисов ОСАГО, являются не совсем справедливыми, потому что подавляющая часть наших автовладельцев ездит добросовестно, не попадая в ДТП, но при этом платят примерно столько же, сколько платят те, кто постоянно нарушает ПДД или попадает в ДТП", – пояснил Анатолий Аксаков.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Заместитель Председателя Банка России Владимир 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Чистюхин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выразил мнение, что для совершенствования системы ОСАГО нужно повысить доступность полисов и установить справедливые индивидуализированные тарифы. 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Президент РСА Игорь 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Юргенс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отметил, что средняя частота аварий по России составляет 5,2 %, тогда как средняя частота аварий у таксистов – 60 %. Игорь 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Юргенс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пояснил: они регистрируются как ИП и </w:t>
      </w:r>
      <w:proofErr w:type="gramStart"/>
      <w:r w:rsidRPr="007C3CFA">
        <w:rPr>
          <w:rFonts w:ascii="Times New Roman" w:eastAsia="Calibri" w:hAnsi="Times New Roman" w:cs="Times New Roman"/>
          <w:sz w:val="26"/>
          <w:szCs w:val="26"/>
        </w:rPr>
        <w:t>платят</w:t>
      </w:r>
      <w:proofErr w:type="gram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как и обычные водители, что необходимо исключить.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В настоящий момент на рассмотрении Госдуме находятся законопроекты о пятидневном сроке отказа в заключении договора ОСАГО, а также об установлении </w:t>
      </w:r>
      <w:r w:rsidRPr="007C3CFA">
        <w:rPr>
          <w:rFonts w:ascii="Times New Roman" w:eastAsia="Calibri" w:hAnsi="Times New Roman" w:cs="Times New Roman"/>
          <w:sz w:val="26"/>
          <w:szCs w:val="26"/>
        </w:rPr>
        <w:lastRenderedPageBreak/>
        <w:t>правила, согласно которому если при ДТП выяснится, что причиной аварии станет техническая неисправность не прошедшего осмотр автомобиля, страховая компания получит возможность возместить все свои расходы за счет владельца этой машины.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20" w:anchor="ixzz5RLT5lukz" w:history="1">
        <w:r w:rsidRPr="007C3CF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http://www.garant.ru/news/1218522/#ixzz5RLT5lukz</w:t>
        </w:r>
      </w:hyperlink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7C3CFA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КС РФ: работодатель вправе предлагать работникам при сокращении временную работу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14 сентября 2018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Конституционный Суд Российской Федерации отказался рассматривать жалобу на конституционность ч. 3 ст. 81 Трудового кодекса и ч. 1 ст. 180 ТК РФ. Заявителя не устраивало то, что данные нормы обязывают работодателя предлагать работнику при сокращении только вакантные должности и препятствуют работнику, предупрежденному о предстоящем увольнении, продолжить работу у того же работодателя на временно свободной должности до выхода на работу основного работника (Определение КС РФ от 17 июля 2018 г. № 1894-О).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Суд указал, разрешение вопроса о закреплении в законе обязанности работодателя предлагать работнику, помимо вакантных должностей, еще и должности временно отсутствующих работников является прерогативой федерального законодателя и не входит в компетенцию КС РФ. Вместе с тем судьи отметили, что и в силу действующего регулирования работодатель не лишен права наряду с вакантными должностями предложить увольняемому работнику должности, сохраняемые за отсутствующими работниками.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Тезис об отсутствии у работодателя обязанности по предложению сокращаемому работнику временно свободных должностей, но наличию такой возможности встречается как в практике судов общей юрисдикции, так и в разъяснениях контролирующих органов (письмо 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Роструда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от 29 июля 2009 г. № 2263-6-1).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21" w:anchor="ixzz5RJTdEJaY" w:history="1">
        <w:r w:rsidRPr="007C3CF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http://www.garant.ru/news/1218405/#ixzz5RJTdEJaY</w:t>
        </w:r>
      </w:hyperlink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7C3CFA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К 10 февраля медицинские организации должны сдать в Росстат новую форму 1-здрав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14 сентября 2018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Утверждена новая форма федерального статистического наблюдения № 1-здрав "Сведения об организации, оказывающей услуги по медицинской помощи" (с отчета за 2018 год).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Ее предоставляют организации, имеющие лицензию на осуществление 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меддеятельности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и оказывающие услуги по медпомощи (кроме </w:t>
      </w:r>
      <w:proofErr w:type="spellStart"/>
      <w:r w:rsidRPr="007C3CFA">
        <w:rPr>
          <w:rFonts w:ascii="Times New Roman" w:eastAsia="Calibri" w:hAnsi="Times New Roman" w:cs="Times New Roman"/>
          <w:sz w:val="26"/>
          <w:szCs w:val="26"/>
        </w:rPr>
        <w:t>микропредприятий</w:t>
      </w:r>
      <w:proofErr w:type="spellEnd"/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 и организаций системы Минздрава России). Форма предоставляется в региональное Управление Росстата 10 февраля после отчетного периода (приказ Росстата от 10 августа 2018 г. № 493).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>Дополнительно утверждены указания по заполнению формы.</w:t>
      </w:r>
    </w:p>
    <w:p w:rsidR="007C3CFA" w:rsidRPr="007C3CFA" w:rsidRDefault="007C3CFA" w:rsidP="007C3C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3CFA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22" w:anchor="ixzz5RJVPKQFP" w:history="1">
        <w:r w:rsidRPr="007C3CFA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http://www.garant.ru/news/1218423/#ixzz5RJVPKQFP</w:t>
        </w:r>
      </w:hyperlink>
    </w:p>
    <w:p w:rsidR="00DC33DA" w:rsidRPr="00BE56D4" w:rsidRDefault="00DC33DA" w:rsidP="007C3C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DC33DA" w:rsidRPr="00BE56D4" w:rsidSect="0097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1CF8"/>
    <w:multiLevelType w:val="multilevel"/>
    <w:tmpl w:val="35A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61A3A"/>
    <w:multiLevelType w:val="hybridMultilevel"/>
    <w:tmpl w:val="9EDC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A5"/>
    <w:rsid w:val="000244E2"/>
    <w:rsid w:val="000267F1"/>
    <w:rsid w:val="00137164"/>
    <w:rsid w:val="001511ED"/>
    <w:rsid w:val="001600FC"/>
    <w:rsid w:val="0016067A"/>
    <w:rsid w:val="001C3457"/>
    <w:rsid w:val="001E6CF1"/>
    <w:rsid w:val="002058CD"/>
    <w:rsid w:val="0021459E"/>
    <w:rsid w:val="0025318F"/>
    <w:rsid w:val="00325EDB"/>
    <w:rsid w:val="003F0FAA"/>
    <w:rsid w:val="004862E7"/>
    <w:rsid w:val="00531A87"/>
    <w:rsid w:val="005A26A5"/>
    <w:rsid w:val="005F21D8"/>
    <w:rsid w:val="006512F4"/>
    <w:rsid w:val="00693D33"/>
    <w:rsid w:val="00707777"/>
    <w:rsid w:val="00781308"/>
    <w:rsid w:val="007A404F"/>
    <w:rsid w:val="007C3CFA"/>
    <w:rsid w:val="008D7059"/>
    <w:rsid w:val="00974B14"/>
    <w:rsid w:val="00A4744D"/>
    <w:rsid w:val="00A85A7D"/>
    <w:rsid w:val="00AB4CAE"/>
    <w:rsid w:val="00B42A45"/>
    <w:rsid w:val="00BB409A"/>
    <w:rsid w:val="00BE56D4"/>
    <w:rsid w:val="00D60541"/>
    <w:rsid w:val="00DC33DA"/>
    <w:rsid w:val="00E97BE7"/>
    <w:rsid w:val="00EF7737"/>
    <w:rsid w:val="00FC672A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CE053-BC8A-4024-9975-29740141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3DA"/>
    <w:pPr>
      <w:ind w:left="720"/>
      <w:contextualSpacing/>
    </w:pPr>
  </w:style>
  <w:style w:type="character" w:customStyle="1" w:styleId="p15">
    <w:name w:val="p15"/>
    <w:basedOn w:val="a0"/>
    <w:rsid w:val="0016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news/1217591/" TargetMode="External"/><Relationship Id="rId13" Type="http://schemas.openxmlformats.org/officeDocument/2006/relationships/hyperlink" Target="http://www.garant.ru/news/1218524/" TargetMode="External"/><Relationship Id="rId18" Type="http://schemas.openxmlformats.org/officeDocument/2006/relationships/hyperlink" Target="http://www.garant.ru/news/121840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news/1218405/" TargetMode="External"/><Relationship Id="rId7" Type="http://schemas.openxmlformats.org/officeDocument/2006/relationships/hyperlink" Target="http://www.garant.ru/news/1217564/" TargetMode="External"/><Relationship Id="rId12" Type="http://schemas.openxmlformats.org/officeDocument/2006/relationships/hyperlink" Target="http://www.garant.ru/news/1218277/" TargetMode="External"/><Relationship Id="rId17" Type="http://schemas.openxmlformats.org/officeDocument/2006/relationships/hyperlink" Target="http://www.garant.ru/news/121839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news/1218396/" TargetMode="External"/><Relationship Id="rId20" Type="http://schemas.openxmlformats.org/officeDocument/2006/relationships/hyperlink" Target="http://www.garant.ru/news/121852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news/1217599/" TargetMode="External"/><Relationship Id="rId11" Type="http://schemas.openxmlformats.org/officeDocument/2006/relationships/hyperlink" Target="http://www.garant.ru/news/1217751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news/121842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news/1217717/" TargetMode="External"/><Relationship Id="rId19" Type="http://schemas.openxmlformats.org/officeDocument/2006/relationships/hyperlink" Target="http://www.garant.ru/news/12184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news/1217551/" TargetMode="External"/><Relationship Id="rId14" Type="http://schemas.openxmlformats.org/officeDocument/2006/relationships/hyperlink" Target="http://www.garant.ru/news/1218493/" TargetMode="External"/><Relationship Id="rId22" Type="http://schemas.openxmlformats.org/officeDocument/2006/relationships/hyperlink" Target="http://www.garant.ru/news/12184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47DA-563A-4E15-B8D0-1C7FD46B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4960</Words>
  <Characters>28275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ZhaboMA</cp:lastModifiedBy>
  <cp:revision>6</cp:revision>
  <dcterms:created xsi:type="dcterms:W3CDTF">2018-09-10T08:55:00Z</dcterms:created>
  <dcterms:modified xsi:type="dcterms:W3CDTF">2018-09-17T09:15:00Z</dcterms:modified>
</cp:coreProperties>
</file>