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36" w:rsidRDefault="00445936" w:rsidP="00445936">
      <w:pPr>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Постановление Правительства РФ от 5 июля 2019 г. N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Появились правила маркировки обуви.</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Правительство РФ урегулировало вопросы маркировки обуви средствами идентификации, определило порядок внедрения государственной информационной системы мониторинга за оборотом товаров.</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Участники оборота товаров должны зарегистрироваться в системе с 1 июля по 30 сентября 2019 г. (включительно) либо после 30 сентября 2019 г. в течение 7 календарных дней со дня введения товаров в оборот и их реализации.</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Не позднее 30 календарных дней с даты регистрации субъекты обеспечивают готовность собственных программно-аппаратных средств к информационному взаимодействию с системой и направляют оператору заявку на тестирование оборудования.</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С 1 октября 2019 г. стартует добровольная маркировка обуви.</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1 марта 2020 г. маркировка станет обязательной как для новых партий обуви, так и для остатков.</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Постановление вступает в силу со дня опубликования.</w:t>
      </w:r>
    </w:p>
    <w:p w:rsidR="00445936" w:rsidRDefault="00445936" w:rsidP="00445936">
      <w:pPr>
        <w:rPr>
          <w:rFonts w:ascii="Times New Roman" w:hAnsi="Times New Roman" w:cs="Times New Roman"/>
          <w:color w:val="000000"/>
          <w:sz w:val="26"/>
          <w:szCs w:val="26"/>
        </w:rPr>
      </w:pPr>
      <w:r>
        <w:rPr>
          <w:rFonts w:ascii="Times New Roman" w:hAnsi="Times New Roman" w:cs="Times New Roman"/>
          <w:color w:val="000000"/>
          <w:sz w:val="26"/>
          <w:szCs w:val="26"/>
        </w:rPr>
        <w:t xml:space="preserve">ГАРАНТ.РУ: </w:t>
      </w:r>
      <w:hyperlink r:id="rId5" w:anchor="ixzz5tgKV5NfD" w:history="1">
        <w:r>
          <w:rPr>
            <w:rStyle w:val="a3"/>
            <w:rFonts w:ascii="Times New Roman" w:hAnsi="Times New Roman" w:cs="Times New Roman"/>
            <w:sz w:val="26"/>
            <w:szCs w:val="26"/>
          </w:rPr>
          <w:t>http://www.garant.ru/hotlaw/important/#ixzz5tgKV5NfD</w:t>
        </w:r>
      </w:hyperlink>
    </w:p>
    <w:p w:rsidR="00445936" w:rsidRDefault="00445936" w:rsidP="00445936">
      <w:pPr>
        <w:rPr>
          <w:rFonts w:ascii="Times New Roman" w:hAnsi="Times New Roman" w:cs="Times New Roman"/>
          <w:b/>
          <w:bCs/>
          <w:color w:val="7030A0"/>
          <w:sz w:val="26"/>
          <w:szCs w:val="26"/>
          <w:u w:val="single"/>
        </w:rPr>
      </w:pPr>
    </w:p>
    <w:p w:rsidR="00445936" w:rsidRDefault="00445936" w:rsidP="00445936">
      <w:pPr>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Госдуму внесен законопроект о цифровом профиле граждан и юрлиц</w:t>
      </w:r>
    </w:p>
    <w:p w:rsidR="00445936" w:rsidRDefault="00445936" w:rsidP="00445936">
      <w:pPr>
        <w:rPr>
          <w:rFonts w:ascii="Times New Roman" w:hAnsi="Times New Roman" w:cs="Times New Roman"/>
          <w:sz w:val="26"/>
          <w:szCs w:val="26"/>
        </w:rPr>
      </w:pPr>
      <w:r>
        <w:rPr>
          <w:rFonts w:ascii="Times New Roman" w:hAnsi="Times New Roman" w:cs="Times New Roman"/>
          <w:sz w:val="26"/>
          <w:szCs w:val="26"/>
        </w:rPr>
        <w:t>8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Предлагается дополнить Федеральный закон от 27 июля 2006 г. № 149-ФЗ "Об информации, информационных технологиях и о защите информации" новой статьей, посвященной правовому регулированию цифрового профиля. Под таковым понимается совокупность сведений о гражданах и юрлицах, содержащихся в информационных системах государственных органов, органов местного самоуправления и организаций, осуществляющих отдельные публичные полномочия, а также в единой системе идентификации и аутентификации. Инфраструктура цифрового профиля нацелена на обмен сведениями в электронной форме между физическими лицами, организациями, госорганами и органами местного самоуправления.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Согласно поправкам инфраструктура цифрового профиля позволит обеспечивать:</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идентификацию и аутентификацию физических и юридических лиц;</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доступ к цифровому профилю и предоставление сведений из него в электронной форме физическим и юридическим лицам;</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предоставление и обновление по запросу органов власти, организаций, осуществляющих отдельные публичные полномочия, и иных организаций сведений о физическом или юридическом лице, содержащихся в цифровом профиле;</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получение и отзыв согласия на обработку персональных данных граждан и сведений о юрлицах в случаях, предусматривающих получение сведений о гражданине или юрлице с использованием инфраструктуры цифрового профиля;</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предоставление сведений для формирования запросов на получение государственных и муниципальных услуг или исполнение государственных и муниципальных функций;</w:t>
      </w:r>
    </w:p>
    <w:p w:rsidR="00445936" w:rsidRDefault="00445936" w:rsidP="00445936">
      <w:pPr>
        <w:numPr>
          <w:ilvl w:val="0"/>
          <w:numId w:val="1"/>
        </w:num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хранение сведений о гражданах и юрлицах, в т. ч. результатов предоставления государственных и муниципальных услуг в электронной форме.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Законопроектом планируется регламентировать порядок идентификации и аутентификации лица. Предусмотрена возможность идентификации и аутентификации лица с помощью удостоверения личности гражданина и других идентификаторов, позволяющих достоверно определить соответствующее физическое или юридическое лицо. Полномочия по установлению требований к идентификаторам и утверждению их перечня может получить Правительство РФ. При этом определен закрытый перечень лиц, уполномоченных подтверждать верность идентификатора или ранее проведенной идентификации и аутентификации – кредитные организации, операторы подвижной радиотелефонной связи, операторы связи, занимающие существенное положение в сети связи общего пользования и самостоятельно оказывающие услуги связи по передаче данных, операторы государственных информационных систем, иные организации, соответствующие установленным требованиям.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Одновременно в Госдуму внесен законопроект, направленный на совершенствование регулирования в сфере электронной подписи. Он содержит нормы, регулирующие процедуры установления и проверки полномочий лица, использующего электронную подпись в различных информационных системах. Вводится понятие метки доверенного времени – достоверной информации в электронной форме о дате и времени подписания электронного документа электронной подписью. Также предлагается внедрение и использование машиночитаемых доверенностей в целях подтверждения полномочий в цифровой среде.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Ряд поправок касается полномочий удостоверяющих центров (УЦ) и требований к порядку их аккредитации и деятельности. УЦ могут получить полномочия по хранению ключа электронной подписи, ключ проверки которой содержится в квалифицированном сертификате с обеспечением его защиты от компрометации и несанкционированного использования. В данном случае речь идет и создании при помощи указанного ключа по поручению владельца квалифицированного сертификата электронной подписи с использованием средств электронной подписи, имеющих подтверждение соответствия установленным требованиям. Что касается правил аккредитации и деятельности УЦ, то планируется ввести высокий порог собственного капитала УЦ и высокий порог страховой ответственности деятельности УЦ, сократить срок аккредитации УЦ до трех лет, а также ввести административную ответственность за нарушения работы УЦ технического характера и уголовную – за заведомо умышленные действия сотрудников УЦ.</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Данные изменения предлагаются к внесению и третьим законопроектом, поступившим в Госдуму.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6" w:anchor="ixzz5tgBYJBTy" w:history="1">
        <w:r>
          <w:rPr>
            <w:rStyle w:val="a3"/>
            <w:rFonts w:ascii="Times New Roman" w:hAnsi="Times New Roman" w:cs="Times New Roman"/>
            <w:sz w:val="26"/>
            <w:szCs w:val="26"/>
          </w:rPr>
          <w:t>http://www.garant.ru/news/1281153/#ixzz5tgBYJBTy</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Приказ Федеральной налоговой службы от 8 апреля 2019 г. N ММВ-7-15/176@ "О внесении изменений в приложения к приказам Федеральной налоговой службы от 30.11.2015 N ММВ-7-10/551@, от 30.11.2015 N ММВ-7-10/552@, от 24.03.2016 N ММВ-7-15/155@, от 13.04.2016 N ММВ-7-15/189@"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Изменились электронные форматы некоторых налоговых документов.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ФНС обновила электронные форматы:</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документа о передаче товаров при торговых операциях;</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документа о передаче результатов работ (об оказании услуг);</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счета-фактуры;</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корректировочного счета-фактуры.</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Зарегистрировано в Минюсте РФ 8 июля 2019 г. Регистрационный N 55169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7" w:anchor="ixzz5tgFh6Z3e" w:history="1">
        <w:r>
          <w:rPr>
            <w:rStyle w:val="a3"/>
            <w:rFonts w:ascii="Times New Roman" w:hAnsi="Times New Roman" w:cs="Times New Roman"/>
            <w:sz w:val="26"/>
            <w:szCs w:val="26"/>
          </w:rPr>
          <w:t>http://www.garant.ru/hotlaw/important/#ixzz5tgFh6Z3e</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Ресурсоснабжающие организации на УСН предлагается освободить от НДС</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8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Минстрой России подготовил законопроект, предусматривающий внесение изменений в ст. 174.1 Налогового кодекса в части освобождения от уплаты НДС некоторых видов налогоплательщиков. Речь идет о ресурсоснабжающих организациях, осуществляющих деятельность на основании концессионных соглашений в "малых" городах.</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Предложенные меры позволят организациям, применяющим УСН, сохранять налоговый режим при заключении ими концессионных соглашений в отношении объектов теплоснабжения, централизованных систем горячего водоснабжения, холодного водоснабжения или водоотведения, отдельных объектов таких систем, расположенных на территориях населенных пунктов с населением менее 50 тыс. человек. Законодатель полагает, что действующие в настоящее время нормы являются одной из основных причин низкой эффективности деятельности ресурсоснабжающих концессионеров в небольших городах.</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настоящее время налоговым законодательством установлена обязанность налогоплательщика возлагается на концессионера при совершении в рамках концессионного соглашения операций по реализации товаров (работ, услуг или имущественных прав), подлежащих обложению НДС. Не предусмотрено исключение и для организаций, применяющих УСН (п. 1 ст. 174.1 НК РФ).</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Минфин России не раз разъяснял, что такой налогоплательщик должен исчислять налог с момента вступления в силу концессионного соглашения в отношении операций по реализации товаров (работ, услуг, имущественных прав), подлежащих налогообложению, совершенных в рамках вышеуказанного договора (письмо Минфина России от 11 апреля 2017 г. № 03-07-11/21305). При этом суммы НДС, предъявленные концессионеру в процессе создания или реконструкции объекта концессионного соглашения, а также в период его использования, принимаются к вычету, если объект использовался для операций, подлежащих обложению НДС (письмо ФНС России от 13 января 2017 г. № СД-3-3/149@).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8" w:anchor="ixzz5tgMkU6hn" w:history="1">
        <w:r>
          <w:rPr>
            <w:rStyle w:val="a3"/>
            <w:rFonts w:ascii="Times New Roman" w:hAnsi="Times New Roman" w:cs="Times New Roman"/>
            <w:sz w:val="26"/>
            <w:szCs w:val="26"/>
          </w:rPr>
          <w:t>http://www.garant.ru/news/1281330/#ixzz5tgMkU6hn</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Минфин России рассказал об особенностях участия в электронных процедурах, участники которых должны соответствовать дополнительным требованиям</w:t>
      </w:r>
    </w:p>
    <w:p w:rsidR="00445936" w:rsidRDefault="00445936" w:rsidP="00445936">
      <w:pPr>
        <w:jc w:val="both"/>
        <w:rPr>
          <w:rFonts w:ascii="Times New Roman" w:hAnsi="Times New Roman" w:cs="Times New Roman"/>
          <w:color w:val="7030A0"/>
          <w:sz w:val="26"/>
          <w:szCs w:val="26"/>
        </w:rPr>
      </w:pPr>
      <w:r>
        <w:rPr>
          <w:rFonts w:ascii="Times New Roman" w:hAnsi="Times New Roman" w:cs="Times New Roman"/>
          <w:color w:val="7030A0"/>
          <w:sz w:val="26"/>
          <w:szCs w:val="26"/>
        </w:rPr>
        <w:t>8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 подготовленном специалистами министерства письме разъясняется порядок участия в закупках в электронной форме, в отношении участников которых Правительством РФ установлены дополнительные требования в соответствии с ч. 2 и ч. 2.1 ст. 31 Федерального закона от 5 апреля 2013 г. № 44-ФЗ "О контрактной системе в сфере закупок товаров, работ, услуг для обеспечения государственных и </w:t>
      </w:r>
      <w:r>
        <w:rPr>
          <w:rFonts w:ascii="Times New Roman" w:hAnsi="Times New Roman" w:cs="Times New Roman"/>
          <w:sz w:val="26"/>
          <w:szCs w:val="26"/>
        </w:rPr>
        <w:lastRenderedPageBreak/>
        <w:t>муниципальных нужд" (далее – Закон № 44-ФЗ), в том числе закупках работ по строительству, реконструкции, капитальному ремонту, сносу объекта капитального строительства, линейного объекта, строительству некапитального строения, сооружения (строений, сооружений), благоустройству территории, ремонту, содержанию автомобильных дорог (письмо Минфина России от 26 июня 2019 г. № 24-06-08/46867).</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lang w:val="en-US"/>
        </w:rPr>
        <w:t xml:space="preserve">C </w:t>
      </w:r>
      <w:r>
        <w:rPr>
          <w:rFonts w:ascii="Times New Roman" w:hAnsi="Times New Roman" w:cs="Times New Roman"/>
          <w:sz w:val="26"/>
          <w:szCs w:val="26"/>
        </w:rPr>
        <w:t>1 июля 2019 года участие в указанных закупках предусматривает получение участниками аккредитации на электронной площадке в новом порядке, установленном ч. 4 ст. 24.2 Закона № 44-ФЗ, то есть после регистрации в ЕИС. Участникам целесообразно заблаговременно принять меры по регистрации в ЕИС в целях реализации положений ч. 12-15 ст. 24.2 Закона № 44-ФЗ, определяющих порядок направления оператору электронной площадки документов, перечисленных в ч. 3 ст. 31 Закона № 44-ФЗ.</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9" w:anchor="ixzz5tgWZC300" w:history="1">
        <w:r>
          <w:rPr>
            <w:rStyle w:val="a3"/>
            <w:rFonts w:ascii="Times New Roman" w:hAnsi="Times New Roman" w:cs="Times New Roman"/>
            <w:sz w:val="26"/>
            <w:szCs w:val="26"/>
          </w:rPr>
          <w:t>http://www.garant.ru/news/1281315/#ixzz5tgWZC300</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Госдуму внесены законопроекты о переходе на электронные трудовые книжки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9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Речь идет о трех правительственных инициативах, предусматривающих возможность ведения сведений о трудовой деятельности работников в электронном виде.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Согласно поправкам с 1 января 2021 года для лиц, впервые поступающих на работу, все сведения будут оформляться в электронном виде. Трудовые книжки на бумажном носителе останутся только для тех работников, которые до конца 2020 года направят работодателю письменное заявление о необходимости ее ведения.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 целях обеспечения формирования и ведения сведений о трудовой деятельности в электронном виде законопроект предписывает работодателям в течение 2020 года осуществить ряд подготовительных мероприятий, а именно – разработать, принять или изменить локальные нормативные акты, скорректировать соглашения и коллективные договоры, обеспечить техническую готовность к передаче сведений о трудовой деятельности в электронном виде в информационную систему ПФР. Также работодатели должны уведомить работников в письменной форме об изменениях трудового законодательства в части формирования и ведения сведений о трудовой деятельности в электронном виде, сообщив им при этом о праве на подачу заявления о ведении трудовой книжки на бумажном носителе и последствиях непредставления такого заявления до 1 января 2021 года (прекращение ведения бумажной трудовой книжки и выдача ее работнику на руки).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С 1 января 2020 года планируется обязать работодателя (страхователя) представлять в информационную систему ПФР сведения о трудовой деятельности застрахованных лиц. С той же даты может быть введена административная ответственность в виде предупреждения для должностных лиц работодателя за неоднократное (два и более раз в течение года) нарушение сроков представления в ПФР необходимых сведений либо представление неполных или недостоверных сведений.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Для удобства работников предусматривается несколько способов получения сведений о трудовой деятельности на бумажном носителе или в электронной форме – у работодателя по последнему месту работы, в МФЦ, ПФР и на Едином портале госуслуг.</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0" w:anchor="ixzz5tgccuWLg" w:history="1">
        <w:r>
          <w:rPr>
            <w:rStyle w:val="a3"/>
            <w:rFonts w:ascii="Times New Roman" w:hAnsi="Times New Roman" w:cs="Times New Roman"/>
            <w:sz w:val="26"/>
            <w:szCs w:val="26"/>
          </w:rPr>
          <w:t>http://www.garant.ru/news/1281344/#ixzz5tgccuWLg</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Перечень уголовных наказаний за фиктивную регистрацию могут расширить</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9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Госдуму внесен законопроект, направленный на совершенствование правового регулирования вопросов противодействия незаконной миграции.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Предлагается расширить перечень уголовных санкций за фиктивную регистрацию гражданина по месту пребывания или месту жительства, а также за фиктивную постановку на учет иностранного гражданина или лица без гражданства по месту пребывания в России. В ст. 322.2 и ст. 322.3 Уголовного кодекса планируется дополнительно включить такие санкции, как обязательные работы на срок до 360 часов или исправительные работы на срок до одного года.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Авторы инициативы отмечают, что такая поправка позволит расширить круг лиц, которые объективно смогут понести бремя наказания за совершение преступлений по указанным статьям. В конечном итоге это будет способствовать усилению в допустимых пределах соблюдения принципа неотвратимости наказания, считают разработчики.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Фиктивной регистрацией по месту жительства считается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либо регистрация по месту жительства без их намерения проживать в соответствующем жилом помещении или без намерения нанимателя (собственника) предоставить им это жилое помещение для проживания. А фиктивной постановкой на учет – аналогичные действия, связанные с постановкой на учет иностранца или лица без гражданства по месту пребывания, а равно постановка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деятельность (п. 10-22 ч. 1 ст. 2 Федерального закона от 18 июля 2006 г. № 109-ФЗ "О миграционном учете иностранных граждан и лиц без гражданства в Российской Федерации").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1" w:anchor="ixzz5tgprcS4Z" w:history="1">
        <w:r>
          <w:rPr>
            <w:rStyle w:val="a3"/>
            <w:rFonts w:ascii="Times New Roman" w:hAnsi="Times New Roman" w:cs="Times New Roman"/>
            <w:sz w:val="26"/>
            <w:szCs w:val="26"/>
          </w:rPr>
          <w:t>http://www.garant.ru/news/1281348/#ixzz5tgprcS4Z</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Перечень подакцизных товаров может быть расширен</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10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Правительство РФ внесло в Госдуму законопроект о поправках в Налоговый кодекс в части признания подакцизными ряда товаров. Речь идет о спиртосодержащей парфюмерно-косметической продукции в металлической аэрозольной упаковке, а также разлитой в малые емкости (не более 100 мл), продукции бытовой химии в металлической аэрозольной упаковке, виноматериалах (за исключением виноматериалов, предназначенных для производства дистиллятов), винограде, используемом для производства вина, игристого вина (шампанского), а также спиртных напитков, изготовленных по технологии полного цикла.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Предлагается внести изменения в условия и порядок предоставления свидетельств о регистрации организаций, совершающих операции с денатурированным этиловым спиртом. Налоговый орган обязан выдать свидетельство или уведомить об отказе в его выдаче не позднее 30 календарных дней с момента представления организацией соответствующего заявления и представления копий необходимых документов. Действие выданного свидетельства начинается с первого дня налогового периода, в котором организацией представлены вышеуказанные документы.</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Также законопроектом предусматривается предоставление налогоплательщикам-производителям вышеуказанной продукции права на получение налоговых вычетов при условии надлежащего использования подакцизного сырья.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Законодатель предлагает внести некоторые изменения и в части акцизных ставок:</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унифицировать ставки на спирт этиловый, спиртосодержащую продукцию, а также алкогольную продукцию с объемной долей этилового спирта свыше 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установить ставку акциза на винные напитки, изготавливаемые без добавления ректификованного этилового спирта, на уровне ставки акциза на игристые вина (шампанские);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установить единые налоговые ставки акциза на вина, игристые вина (шампанские), производимые и ввозимые на территорию России.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Вышеуказанные изменения вступят в силу с 1 января 2020 года, но не ранее чем по истечении одного месяца со дня официального опубликования закона, а также не ранее 1 числа очередного налогового периода по акцизам.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2" w:anchor="ixzz5tgPZpJiv" w:history="1">
        <w:r>
          <w:rPr>
            <w:rStyle w:val="a3"/>
            <w:rFonts w:ascii="Times New Roman" w:hAnsi="Times New Roman" w:cs="Times New Roman"/>
            <w:sz w:val="26"/>
            <w:szCs w:val="26"/>
          </w:rPr>
          <w:t>http://www.garant.ru/news/1281459/#ixzz5tgPZpJiv</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Разработаны рекомендации по проведению эксперимента по прослеживаемости товаров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10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ФНС России опубликовала рекомендации в отношении проведения эксперимента по прослеживаемости товаров, выпущенных на российской территории в соответствии с таможенной процедурой выпуска для внутреннего потребления (далее – Рекомендации, письмо ФНС России от 4 июля 2019 г. № ЕД-4-15/13072@ "О направлении положений эксперимента по прослеживаемости товаров").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Рекомендациях прописываются условия участия заинтересованных лиц в эксперименте, правила подачи и регистрации соответствующей заявки, а также ее типовая форма, перечень прилагаемых к ней документов и правила их предоставления. Отдельный раздел посвящен структуре регистрационного номера партии товаров и правилам его указания в документах, содержащих реквизиты товаров, подлежащих прослеживаемости.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эксперименте могут принять участие организации, осуществляющие как минимум одну из следующих операций: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ввоз товаров;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купля-продажа на внутреннем рынке;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оптовая продажа товаров налогоплательщикам государств-членов ЕЭС.</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Заявку на участие можно подать в период с 1 июля по 30 сентября 2019 года через интернет-обращение на официальном сайте ФНС России или направить по почте в адрес налоговой службы (127381, г. Москва, улица Неглинная, д. 23). В ней указывается наименование, ИНН и КПП налогоплательщика, Ф. И. О. и электронный адрес контактного лица, а также сведения о товаре – наименование, код товара по товарной номенклатуре внешнеэкономической деятельности (ТН ВЭД), примеры регистрационных номеров деклараций на товары (графа 11 счета-фактуры), наименование, ИНН и КПП продавца и покупателя товара при их наличии.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Срок рассмотрения заявки составляет 10 рабочих дней со дня ее подачи. Если заявка будет одобрена налоговыми органами, то в течение 10 рабочих дней с момента ее регистрации организация предоставляет в инспекцию документы, содержащие реквизиты товаров. Допускается предоставление документов в отношении операций с товарами, совершенных с 1 января 2019 года. В дальнейшем документы нужно </w:t>
      </w:r>
      <w:r>
        <w:rPr>
          <w:rFonts w:ascii="Times New Roman" w:hAnsi="Times New Roman" w:cs="Times New Roman"/>
          <w:sz w:val="26"/>
          <w:szCs w:val="26"/>
        </w:rPr>
        <w:lastRenderedPageBreak/>
        <w:t>представлять не позднее 15 числа месяца, следующего за месяцем совершения операции с такими товарами.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Эксперимент проводится в отношении 10 товарных групп, в том числе холодильного оборудования, транспортных средств промышленного назначения, стиральных машин, мониторов, детских колясок и кресел безопасности.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Целью эксперимента является проверка полноты и достаточности функционирования системы прослеживаемости. Как поясняет ФНС России, система прослеживаемости импортных товаров поможет контролировать легальность их оборота на единой таможенной территории ЕАЭС. Она не предусматривает физической маркировки товаров, ведь реквизиты прослеживаемых товаров будут включаться в документацию, а значит, процедура оформления товаров не усложнится и не увеличится нагрузка на участников рынка.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3" w:anchor="ixzz5tgRvwGvA" w:history="1">
        <w:r>
          <w:rPr>
            <w:rStyle w:val="a3"/>
            <w:rFonts w:ascii="Times New Roman" w:hAnsi="Times New Roman" w:cs="Times New Roman"/>
            <w:sz w:val="26"/>
            <w:szCs w:val="26"/>
          </w:rPr>
          <w:t>http://www.garant.ru/news/1281881/#ixzz5tgRvwGvA</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могут разрешить дистанционную продажу ювелирных изделий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10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Минфин России инициировал внесение соответствующей поправки в Правила продажи товаров дистанционным способом (далее – Правила), утв. постановлением Правительства РФ от 27 сентября 2007 г. № 612. Проект правительственного постановления вынесен на публичное обсуждение (оно продлится до 5 августа).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Предлагается включить в п. 5 Правил норму, допускающую продажу на территории России ювелирных изделий из драгоценных металлов или драгоценных камней, сертифицированных ограненных драгоценных камней дистанционным способом. Такая продажа предусмотрена с учетом особенностей, установленных законодательством РФ, а именно – обязательного клеймения ювелирных изделий. Разработчики инициативы подчеркивают, что с просьбой о внесении указанного изменения к Минфину России неоднократно обращались профессиональные предпринимательские сообщества и организации.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Драгоценные и редкоземельные металлы, а также драгоценные камни и изделия из них включены в Перечень видов продукции и отходов производства, свободная реализация которых запрещена, утв. Указом Президента РФ от 22 февраля 1992 г. № 179. При этом Федеральный закон от 26 марта 1998 г. № 41-ФЗ "О драгоценных металлах и драгоценных камнях" (далее – Закон № 41-ФЗ) устанавливает особенности использования и обращения драгоценных металлов и драгоценных камней.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Законом № 41-ФЗ ограничения на свободное обращение распространяются только на необработанные драгоценные камни. Предлагаемая корректировка призвана устранить правовые коллизии при торговле ювелирными и другими изделиями из драгоценных металлов или драгоценных камней, а также сертифицированными ограненными драгоценными камнями дистанционным способом.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4" w:anchor="ixzz5tgYZD5au" w:history="1">
        <w:r>
          <w:rPr>
            <w:rStyle w:val="a3"/>
            <w:rFonts w:ascii="Times New Roman" w:hAnsi="Times New Roman" w:cs="Times New Roman"/>
            <w:sz w:val="26"/>
            <w:szCs w:val="26"/>
          </w:rPr>
          <w:t>http://www.garant.ru/news/1281458/#ixzz5tgYZD5au</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может появиться единый государственный реестр производителей экологически чистой продукции</w:t>
      </w:r>
    </w:p>
    <w:p w:rsidR="00445936" w:rsidRDefault="00445936" w:rsidP="00445936">
      <w:pPr>
        <w:jc w:val="both"/>
        <w:rPr>
          <w:rFonts w:ascii="Times New Roman" w:hAnsi="Times New Roman" w:cs="Times New Roman"/>
          <w:color w:val="7030A0"/>
          <w:sz w:val="26"/>
          <w:szCs w:val="26"/>
        </w:rPr>
      </w:pPr>
      <w:r>
        <w:rPr>
          <w:rFonts w:ascii="Times New Roman" w:hAnsi="Times New Roman" w:cs="Times New Roman"/>
          <w:color w:val="000000"/>
          <w:sz w:val="26"/>
          <w:szCs w:val="26"/>
        </w:rPr>
        <w:t>10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Минсельхоз России разработал проект федерального закона "Об экологически чистой сельскохозяйственной продукции, сырье и продовольствии". Документ вынесен на публичное обсуждение (оно продлится до 5 августа).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Законопроект направлен на регулирование отношений, связанных с производством, хранением, транспортировкой, маркировкой и реализацией экологически чистых сельскохозяйственной продукции, сырья и продовольствия. Под экологически чистой продукцией в документе понимается сельскохозяйственная продукция, сырье и продовольствие, произведенные в массовом количестве по современным агро- и промышленным технологиям с применением ограниченной группы безопасных для человека и окружающей среды удобрений и других агрохимикатов, средств защиты растений, кормов, кормовых и пищевых добавок, иных веществ в соответствии с установленными требованиями.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Речь идет о таких требованиях к производству экологически чистой продукции, как:</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обособление его от производства иной продукции, включая раздельные хранение и транспортировку экологически чистой продукции и продукции, не относящейся к таковой;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проведение мониторинга почв сельскохозяйственных угодий, предназначенных для производства экологически чистой продукции, на содержание потенциально опасных для человека веществ и организмов;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применение безопасных для человека и окружающей среды удобрений и других агрохимикатов, средств защиты растений;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обоснованное применение удобрений и других агрохимикатов, средств защиты растений, стимуляторов роста растений на основе расчета, составленного специалистом с высшим образованием по специальности "Агрономия", в т. ч. с использованием специального программного обеспечения;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запрет на применение трансплантации эмбрионов, клонирования и методов генной инженерии, генно-инженерно-модифицированных и трансгенных организмов, а также продукции, изготовленной с их использованием;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использование пищевых добавок, технологических вспомогательных средств, ароматизаторов, усилителей вкуса, ферментных препаратов, микроэлементов, витаминов, аминокислот, предусмотренных национальными и межгосударственными стандартами в сфере производства экологически чистой продукции;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запрет на применение ионизирующего излучения;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соблюдение технологического регламента процесса обращения с отходами, образующимися при производстве экологически чистой продукции;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недопустимость содержания в конечной экологически чистой продукции потенциально опасных для человека химических и биологических веществ;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запрет на использование упаковки, потребительской и транспортной тары, которые могут привести к загрязнению экологически чистой продукции и окружающей среды.</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Подтверждать соответствие экологически чистой продукции и производства экологически чистой продукции указанным требованиям планируется в форме добровольной сертификации, которая не будет заменять обязательного подтверждения соответствия экологически чистой продукции в случаях, предусмотренных актами Евразийского экономического союза и законодательством РФ. Кроме того, законопроектом предусмотрено формирование Единого государственного реестра производителей экологически чистой продукции, нацеленного на безвозмездное информирование потребителей о производителях экологически чистой продукции и видах производимой ими продукции. Определен </w:t>
      </w:r>
      <w:r>
        <w:rPr>
          <w:rFonts w:ascii="Times New Roman" w:hAnsi="Times New Roman" w:cs="Times New Roman"/>
          <w:sz w:val="26"/>
          <w:szCs w:val="26"/>
        </w:rPr>
        <w:lastRenderedPageBreak/>
        <w:t>перечень сведений, подлежащих обязательному включению в такой реестр, и указано, что они будут общедоступными.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Также планируется разрешить производителям маркировать экологически чистую продукцию особыми комбинациями надписей и графического изображения (знака) экологически чистой продукции единого образца. Маркировка будет обеспечивать прослеживаемость такой продукции на всех этапах ее производства.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 случае одобрения законопроекта предусмотренные им нормы вступят в силу с 1 января 2021 года.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5" w:anchor="ixzz5tgZtiHqy" w:history="1">
        <w:r>
          <w:rPr>
            <w:rStyle w:val="a3"/>
            <w:rFonts w:ascii="Times New Roman" w:hAnsi="Times New Roman" w:cs="Times New Roman"/>
            <w:sz w:val="26"/>
            <w:szCs w:val="26"/>
          </w:rPr>
          <w:t>http://www.garant.ru/news/1281817/#ixzz5tgZtiHqy</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Разработаны поправки о бесплатной (социальной) парковке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11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Документ предусматривает внесение ряда изменений в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Предлагается распространить действие указанного закона на все парковки (парковочные места), включая те, которые расположены около объектов социальной, инженерной и транспортной инфраструктур. В данном случае имеются в виду парковки вблизи жилых, общественных и производственных зданий, строений и сооружений (в т. ч. те, в которых расположены физкультурно-спортивные организации, организации культуры и т. п.), вблизи мест отдыха.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При этом в отдельной статье планируется прописать особенности пользования бесплатными (социальными) парковками отдельными категориями лиц – теми, для кого законами субъектов РФ предусмотрена бесплатная парковка в качестве меры социальной поддержки, а также инвалидами и родителями в многодетных семьях. Отметим, для первых двух категорий подобные льготы уже предусмотрены другими федеральными законами (например, Федеральный закон от 24 ноября 1995 г. № 181-ФЗ "О социальной защите инвалидов в Российской Федерации" обязывает выделять не менее 10% мест на парковке для автомобилей инвалидов, включая транспортные средства, перевозящие инвалидов и детей-инвалидов).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За родителями в семьях, имеющих трех и более детей (в многодетных семьях), предлагается законодательно закрепить право бесплатно парковать принадлежащие им транспортные средства на парковках, расположенных на автомобильных дорогах общего пользования любых форм собственности и значения, включая парковки возле объектов социальной, инженерной и транспортной инфраструктур. Ограничение для них предусмотрено только в части парковочных мест, предназначенных для инвалидов.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 случае одобрения инициативы полномочия по организации социальных парковок будут распределены между региональными и муниципальными властями.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6" w:anchor="ixzz5tgfM4LD1" w:history="1">
        <w:r>
          <w:rPr>
            <w:rStyle w:val="a3"/>
            <w:rFonts w:ascii="Times New Roman" w:hAnsi="Times New Roman" w:cs="Times New Roman"/>
            <w:sz w:val="26"/>
            <w:szCs w:val="26"/>
          </w:rPr>
          <w:t>http://www.garant.ru/news/1281980/#ixzz5tgfM4LD1</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Период оплаты штрафа за нарушение ПДД со скидкой хотят продлить</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12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Его предлагается увеличить на 10 дней (с 20 до 30 дней). С соответствующей законодательной инициативой выступила группа депутатов Госдумы во главе с Игорем Лебедевым.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С 1 января 2016 года нарушителям ПДД предоставлена возможность оплаты штрафа со скидкой в 50%. Такая льгота применяется в случае, если штраф оплачивается в течение 20 дней с даты вынесения постановления о его наложении (ч. 1.3 ст. 32.2 КоАП). Это правило применяется с ограничениями в части некоторых правонарушений, среди которых – управление транспортным средством в нетрезвом состоянии, неоднократный проезд на красный свет или выезд на полосу встречного движения, нарушение ПДД или правил эксплуатации транспортного средства, повлекшее причинение легкого или средней тяжести вреда здоровью потерпевшего, и т. п. Указанные деяния требуют полной оплаты штрафов и исключают применение скидки.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Авторы инициативы считают, что установленный двадцатидневный срок оплаты административного штрафа со скидкой в ряде случаев является недостаточным – например, из-за несвоевременной доставки почты или иных сбоев в ее работе. Они уверены, что увеличение этого срока будет способствовать совершенствованию механизма взыскания штрафов за административные правонарушения в области дорожного движения.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Ранее в Госдуму был внесен законопроект, предусматривающий уточнение порядка оплаты штрафов со скидкой, касающееся дня, с которого исчисляется установленный льготный период. Согласно поправкам оплатить штраф с 50%-ной скидкой можно будет в течение 20 дней после вступления в силу соответствующего постановления, а не со дня его вынесения, как в настоящее время.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7" w:anchor="ixzz5tggI0LZD" w:history="1">
        <w:r>
          <w:rPr>
            <w:rStyle w:val="a3"/>
            <w:rFonts w:ascii="Times New Roman" w:hAnsi="Times New Roman" w:cs="Times New Roman"/>
            <w:sz w:val="26"/>
            <w:szCs w:val="26"/>
          </w:rPr>
          <w:t>http://www.garant.ru/news/1282046/#ixzz5tggI0LZD</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Минтруд России планирует повысить величину прожиточного минимума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12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Министерство разработало и вынесло на общественное обсуждение (оно продлится до 25 июля) соответствующий проект постановления.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Согласно документу величина прожиточного минимума в целом по России за II квартал 2019 года на душу населения составит 11 185 руб., для трудоспособного населения – 12 130 руб., пенсионеров – 9236 руб., детей – 11 004 руб. По сравнению с предыдущим кварталом эти показатели больше на душу населения и для детей на 4%, для трудоспособного населения – на 4,1%, а для пенсионеров – на 3,8%. В свою очередь, величина прожиточного минимума за аналогичный период прошлого года была установлена в сумме 10 444 руб., 11 280 руб., 8583 руб. и 10 390 руб. соответственно.</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Величина прожиточного минимума в целом по России необходима для оценки уровня жизни населения при разработке и реализации социальной политики и федеральных социальных программ, обоснования минимального размера оплаты труда. Она применяется для определения устанавливаемых на федеральном уровне размеров стипендий, пособий, других социальных выплат и учитывается при формировании федерального бюджета (п. 1 ст. 2 Закона № 134-ФЗ).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8" w:anchor="ixzz5tgeYFDbJ" w:history="1">
        <w:r>
          <w:rPr>
            <w:rStyle w:val="a3"/>
            <w:rFonts w:ascii="Times New Roman" w:hAnsi="Times New Roman" w:cs="Times New Roman"/>
            <w:sz w:val="26"/>
            <w:szCs w:val="26"/>
          </w:rPr>
          <w:t>http://www.garant.ru/news/1282007/#ixzz5tgeYFDbJ</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b/>
          <w:bCs/>
          <w:color w:val="7030A0"/>
          <w:sz w:val="26"/>
          <w:szCs w:val="26"/>
          <w:u w:val="single"/>
        </w:rPr>
        <w:t>одготовлен закон об экспериментальных правовых режимах в сфере цифровых инноваций в РФ</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12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Проект документа разработало Минэкономразвития России. Он направлен на независимую антикоррупционную экспертизу, которая продлится до 17 июля.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Под экспериментальным правовым режимом понимается применение в течение определенного периода времени в отношении определенного круга лиц специального регулирования в сфере цифровых инноваций. Такое спецрегулирование предполагает возможность неприменения отдельных нормативных правовых актов или норм, касающихся обязательных требований по лицензированию, аккредитации, сертификации, подтверждению соответствия, получению допусков, разрешений, по направлению и получению юридически значимых сообщений, по способам проведения идентификации сторон правоотношений в сфере цифровых инноваций.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Цифровой инновацией считаются новые или существенно улучшенные продукты (товары, результаты работ, услуги, охраняемые результаты интеллектуальной деятельности), вводимые в гражданский оборот, созданные или используемые по следующим направлениям: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разработка, тестирование и применение цифровых медицинских технологий, включая телемедицинские технологии, применение технологий сбора и обработки сведений о состоянии здоровья и диагнозах физлиц;</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разработка, тестирование и эксплуатация высокоавтоматизированных транспортных средств;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применение электронного обучения и дистанционных образовательных технологий в образовательной и профессиональной деятельности;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применение новых технологий на финансовом рынке;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использование новых технологий при продаже товаров, работ, услуг дистанционным способом;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внедрение новых технологий в сфере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и т. д.</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Документом определен порядок инициирования, установления, реализации, мониторинга реализации, определения результатов реализации экспериментальных правовых режимов в сфере цифровых инноваций, а также принципы и критерии допустимости их установления. Субъектами экспериментального режима могут выступать как юридические лица и ИП, так и органы исполнительной власти, органы местной администрации, деятельность которых осуществляется на основе использования цифровой инновации. Также планируется формирование реестра экспериментальных режимов.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Разработчики инициативы отмечают, что законопроект позволит лицам, занимающимся разработкой и внедрением цифровых инноваций, осуществить их практическое применение и проверить их полезность в условиях отказа от ограничений, установленных нормативными правовыми актами, без риска их нарушения. "Данный инструмент развития цифровых инноваций используется в мировой практике (в большей мере касается рынка финансовых услуг) и позволяет сократить время и издержки внедрения инновационных продуктов и усовершенствовать соответствующее нормативное правовое регулирование", – подчеркивается в пояснительной записке к документу.</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19" w:anchor="ixzz5tghtqmeu" w:history="1">
        <w:r>
          <w:rPr>
            <w:rStyle w:val="a3"/>
            <w:rFonts w:ascii="Times New Roman" w:hAnsi="Times New Roman" w:cs="Times New Roman"/>
            <w:sz w:val="26"/>
            <w:szCs w:val="26"/>
          </w:rPr>
          <w:t>http://www.garant.ru/news/1282012/#ixzz5tghtqmeu</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Расширенные сведения о ходе исполнительного производства можно будет получить через Единый портал госуслуг</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12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Такая возможность будет реализована в рамках функционирования сервиса по исполнительному производству, концепцию которого уже одобрила Правительственная комиссия по цифровому развитию, использованию информационных технологий для улучшения качества жизни и условий ведения предпринимательской деятельности. Об этом сегодня сообщается на официальном сайте Минкомсвязи России.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Речь идет о предоставлении пользователям Единого портала госуслуг (как гражданам, так и представителям бизнеса) возможности получать в электронном виде расширенные сведения о ходе исполнительного производства, сторонами которого они являются. "Информация будет предоставляться в течение 30 секунд автоматически, без необходимости личного взаимодействия с уполномоченными службами. При этом повысится ее точность и оперативность", – отмечает пресс-служба министерства.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Также через портал госуслуг можно будет:</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отслеживать процесс снятия ограничения на выезд из России;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подавать заявления, ходатайства, получать уведомления из ФССП России (в т. ч. через банки, имеющие необходимые технические возможности), взаимодействовать со службой по различным вопросам в онлайн-режиме;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погашать задолженность до возбуждения исполнительного производства (при этом срок получения средств взыскателем сократится до двух дней).</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Внедрение сервиса позволит существенно (не менее чем в два раза) снизить нагрузку на ФССП России, банки и другие органы, которые в настоящее время граждане вынуждены посещать лично. Апробировать работу сервиса планируется уже в октябре 2019 года – в пилотном режиме он стартует в Республике Карелия.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В целом же, по информации Минкомсвязи России, Правительственная комиссия еще в марте текущего года утвердила перечень 25 сервисов – проактивных комплексных госуслуг, связанных с распространенными жизненными ситуациями.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20" w:anchor="ixzz5tgiDDAVq" w:history="1">
        <w:r>
          <w:rPr>
            <w:rStyle w:val="a3"/>
            <w:rFonts w:ascii="Times New Roman" w:hAnsi="Times New Roman" w:cs="Times New Roman"/>
            <w:sz w:val="26"/>
            <w:szCs w:val="26"/>
          </w:rPr>
          <w:t>http://www.garant.ru/news/1282149/#ixzz5tgiDDAVq</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До 19 июля продлится тестирование калькулятора налоговой нагрузки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ФНС России в начале этого года разработала калькулятор для расчета налоговой нагрузки в рамках электронного сервиса "Прозрачный бизнес" (</w:t>
      </w:r>
      <w:hyperlink r:id="rId21" w:history="1">
        <w:r>
          <w:rPr>
            <w:rStyle w:val="a3"/>
            <w:rFonts w:ascii="Times New Roman" w:hAnsi="Times New Roman" w:cs="Times New Roman"/>
            <w:sz w:val="26"/>
            <w:szCs w:val="26"/>
          </w:rPr>
          <w:t>https://pb.nalog.ru/calculator.html</w:t>
        </w:r>
      </w:hyperlink>
      <w:r>
        <w:rPr>
          <w:rFonts w:ascii="Times New Roman" w:hAnsi="Times New Roman" w:cs="Times New Roman"/>
          <w:sz w:val="26"/>
          <w:szCs w:val="26"/>
        </w:rPr>
        <w:t>). Он позволяет получить комплексную информацию о налогоплательщике, а значит, повысить защищенность при выборе контрагентов компании.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Изначально налоговая нагрузка определялась как соотношение суммы уплаченных налогов по данным отчетности налоговых органов и оборота (выручки) организаций по данным Росстата (приказ ФНС России от 30 мая 2007 г. № ММ-3-06/333@).</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настоящее время налоговое ведомство использует только свои данные для определения налоговой нагрузки, учитывая территориальную принадлежность и различные виды деятельности (более 300 кодов ОКВЭД). Тем не менее ряд проблем еще не решен. Как выяснили в экспертном центре бизнес-омбудсмена, в подавляющем большинстве случаев, показатели налогового калькулятора существенно ниже рассчитанных Росстатом. Для оценки реальной налоговой нагрузки планируется расширить перечень критериев, например таких, как размер бизнеса (микро, малый, средний и крупный). Также планируется использовать агрегированные данные по другим муниципальным районам внутри субъектов РФ.</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lastRenderedPageBreak/>
        <w:t>Для этого в настоящее время проходит программа тестирования сервиса. Она состоит из двух этапов. Первый – организация заполняет данные в калькуляторе (</w:t>
      </w:r>
      <w:hyperlink r:id="rId22" w:history="1">
        <w:r>
          <w:rPr>
            <w:rStyle w:val="a3"/>
            <w:rFonts w:ascii="Times New Roman" w:hAnsi="Times New Roman" w:cs="Times New Roman"/>
            <w:sz w:val="26"/>
            <w:szCs w:val="26"/>
          </w:rPr>
          <w:t>https://pb.nalog.ru/calculator.html</w:t>
        </w:r>
      </w:hyperlink>
      <w:r>
        <w:rPr>
          <w:rFonts w:ascii="Times New Roman" w:hAnsi="Times New Roman" w:cs="Times New Roman"/>
          <w:sz w:val="26"/>
          <w:szCs w:val="26"/>
        </w:rPr>
        <w:t>). В нем нужно указать лишь регион и вид деятельности, а также налоговый период. Второй – нужно ответить на несколько вопросов анкеты Федеральной программы тестирования сервиса ФНС России "Налоговый калькулятор" (</w:t>
      </w:r>
      <w:hyperlink r:id="rId23" w:history="1">
        <w:r>
          <w:rPr>
            <w:rStyle w:val="a3"/>
            <w:rFonts w:ascii="Times New Roman" w:hAnsi="Times New Roman" w:cs="Times New Roman"/>
            <w:sz w:val="26"/>
            <w:szCs w:val="26"/>
          </w:rPr>
          <w:t>https://docs.google.com/forms/d/e/1FAIpQLSdaBlSb4kCgV1qoOef8WGLYwkT3ZdEvJmB6u6ulIVHgbFFs0g/viewform?vc=0&amp;c=0&amp;w=1&amp;usp=mail_form_link</w:t>
        </w:r>
      </w:hyperlink>
      <w:r>
        <w:rPr>
          <w:rFonts w:ascii="Times New Roman" w:hAnsi="Times New Roman" w:cs="Times New Roman"/>
          <w:sz w:val="26"/>
          <w:szCs w:val="26"/>
        </w:rPr>
        <w:t>).</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Тестирование продлится до 19 июля, и, как предполагается, в нем примут участие предприниматели, руководители, финансовые директора, главные бухгалтеры организаций, а также эксперты, представляющие бизнес.</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24" w:anchor="ixzz5tgl1pbZS" w:history="1">
        <w:r>
          <w:rPr>
            <w:rStyle w:val="a3"/>
            <w:rFonts w:ascii="Times New Roman" w:hAnsi="Times New Roman" w:cs="Times New Roman"/>
            <w:sz w:val="26"/>
            <w:szCs w:val="26"/>
          </w:rPr>
          <w:t>http://www.garant.ru/news/1280338/#ixzz5tgl1pbZS</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Росреестр напомнил собственникам о возможности установить "запрет" на сделки с недвижимостью без их личного участия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Росреестр напомнил, что любой владелец недвижимого имущества может подать заявление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 (информация Росреестра от 14 июня 2019 г.).</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Речь идет о подаче собственником объекта недвижимости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Правила внесения в ЕГРН отметки о невозможности регистрации и основания ее погашения предусмотрены ст. 36 Федерального закона от 13 июля 2015 г. № 218-ФЗ "О государственной регистрации недвижимости" (далее – Закон № 218-ФЗ).</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Наличие такой записи в ЕГРН является основанием для возврата без рассмотрения заявления (п. 4 ст. 25 Закона № 218-ФЗ), представленного на государственную регистрацию прав другим лицом (не являющимся собственником объекта недвижимости или его законным представителем).</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Однако наличие в ЕГРН указанной отметки не препятствует государственной регистрации перехода, прекращения, ограничения права и обременения объекта недвижимости (ч. 3 ст. 36 Закона № 218-ФЗ), если основанием для госрегистрации права является: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вступившее в законную силу решение суда,</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требование судебного пристава-исполнителя в случаях, предусмотренных Федеральным законом от 2 октября 2007 г. № 229-ФЗ "Об исполнительном производстве"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в иных случаях, установленных федеральными законами.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К сведению: в июне 2019 года в Госдуму был внесен проект поправок в Закон № 218-ФЗ, направленный на защиту граждан от новых мошеннических схем завладения недвижимостью – путем получения незаконного доступа к ключу проверки электронной подписи и последующей подачи в Росреестр соответствующего заявления от имени собственника в электронной форме.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Предлагается в Законе № 218-ФЗ предусмотреть, что внесение сведений в ЕГРН об отчуждении объекта недвижимости, принадлежащего физлицу на праве собственности, путем подачи заявления в электронной форме таким физическим </w:t>
      </w:r>
      <w:r>
        <w:rPr>
          <w:rFonts w:ascii="Times New Roman" w:hAnsi="Times New Roman" w:cs="Times New Roman"/>
          <w:sz w:val="26"/>
          <w:szCs w:val="26"/>
        </w:rPr>
        <w:lastRenderedPageBreak/>
        <w:t>лицом или его представителем, осуществляется только при наличии в ЕГРН специальной записи о возможности такой формы подачи документов.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Данная отметка будет вноситься в ЕГРН на основании заявления собственника объекта недвижимости (его законного представителя), направленного посредством личного обращения или почтового отправления. При отсутствии такой записи в реестре заявление, подписанное электронной подписью гражданина или его представителя, будет возвращено без рассмотрения.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25" w:anchor="ixzz5tgmsi6OO" w:history="1">
        <w:r>
          <w:rPr>
            <w:rStyle w:val="a3"/>
            <w:rFonts w:ascii="Times New Roman" w:hAnsi="Times New Roman" w:cs="Times New Roman"/>
            <w:sz w:val="26"/>
            <w:szCs w:val="26"/>
          </w:rPr>
          <w:t>http://www.garant.ru/news/1279767/#ixzz5tgmsi6OO</w:t>
        </w:r>
      </w:hyperlink>
    </w:p>
    <w:p w:rsidR="00445936" w:rsidRDefault="00445936" w:rsidP="00445936">
      <w:pPr>
        <w:jc w:val="both"/>
        <w:rPr>
          <w:rFonts w:ascii="Times New Roman" w:hAnsi="Times New Roman" w:cs="Times New Roman"/>
          <w:sz w:val="26"/>
          <w:szCs w:val="26"/>
        </w:rPr>
      </w:pPr>
    </w:p>
    <w:p w:rsidR="00445936" w:rsidRDefault="00445936" w:rsidP="00445936">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Госдума приняла в первом чтении проект поправок в закон о государственной регистрации недвижимости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11 июля 2019</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В указанном законе предлагается предусмотреть, что внесение сведений в ЕГРН об отчуждении объекта недвижимости, принадлежащего физлицу на праве собственности, путем подачи соответствующего заявления в электронной форме таким физическим лицом или его представителем, осуществляется только при наличии в ЕГРН специальной записи о возможности такой формы подачи документов.</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Согласно проекту, данную отметку будут вносить в ЕГРН на основании заявления собственника объекта недвижимости (его законного представителя), направленного посредством личного обращения или почтового отправления, в срок не более 5 рабочих дней с момента его поступления.</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При отсутствии такой записи в реестре заявление, подписанное электронной подписью гражданина или его представителя, вернут без рассмотрения. При этом заявления в электронной форме, подаваемые в интересах собственника нотариусом или органом государственной власти, согласно проекту, примут и при отсутствии отметки. </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Как указано в пояснительной записке к законопроекту, он направлен на защиту граждан от новых мошеннических схем завладения недвижимостью – путем получения незаконного доступа к ключу проверки электронной подписи и последующей подачи в Росреестр заявления о государственной регистрации перехода, прекращения права на объект недвижимости от имени собственника в электронной форме.</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Авторы инициативы отмечают, что даже наличие в ЕГРН записи о невозможности государственной регистрации без личного участия правообладателя (возможность внесения которой уже предусмотрена Федеральным законом от 13 июля 2015 г. № 218-ФЗ "О государственной регистрации недвижимости") не защищает в полной мере владельца недвижимости в случае недобросовестных манипуляций при подаче заявления на госрегистрацию прав в электронной форме, поскольку предполагает лишь невозможность ее осуществления на основании доверенности.</w:t>
      </w:r>
    </w:p>
    <w:p w:rsidR="00445936" w:rsidRDefault="00445936" w:rsidP="00445936">
      <w:pPr>
        <w:jc w:val="both"/>
        <w:rPr>
          <w:rFonts w:ascii="Times New Roman" w:hAnsi="Times New Roman" w:cs="Times New Roman"/>
          <w:sz w:val="26"/>
          <w:szCs w:val="26"/>
        </w:rPr>
      </w:pPr>
      <w:r>
        <w:rPr>
          <w:rFonts w:ascii="Times New Roman" w:hAnsi="Times New Roman" w:cs="Times New Roman"/>
          <w:sz w:val="26"/>
          <w:szCs w:val="26"/>
        </w:rPr>
        <w:t xml:space="preserve">ГАРАНТ.РУ: </w:t>
      </w:r>
      <w:hyperlink r:id="rId26" w:anchor="ixzz5tgrZIwGs" w:history="1">
        <w:r>
          <w:rPr>
            <w:rStyle w:val="a3"/>
            <w:rFonts w:ascii="Times New Roman" w:hAnsi="Times New Roman" w:cs="Times New Roman"/>
            <w:sz w:val="26"/>
            <w:szCs w:val="26"/>
          </w:rPr>
          <w:t>http://www.garant.ru/news/1281918/#ixzz5tgrZIwGs</w:t>
        </w:r>
      </w:hyperlink>
    </w:p>
    <w:p w:rsidR="00E0453E" w:rsidRDefault="00E0453E">
      <w:bookmarkStart w:id="0" w:name="_GoBack"/>
      <w:bookmarkEnd w:id="0"/>
    </w:p>
    <w:sectPr w:rsidR="00E04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AE7"/>
    <w:multiLevelType w:val="hybridMultilevel"/>
    <w:tmpl w:val="C316C282"/>
    <w:lvl w:ilvl="0" w:tplc="C546CBD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F9"/>
    <w:rsid w:val="003F1FF9"/>
    <w:rsid w:val="00445936"/>
    <w:rsid w:val="00E0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3461-8A47-40B9-928E-0BECE40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3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59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81330/" TargetMode="External"/><Relationship Id="rId13" Type="http://schemas.openxmlformats.org/officeDocument/2006/relationships/hyperlink" Target="http://www.garant.ru/news/1281881/" TargetMode="External"/><Relationship Id="rId18" Type="http://schemas.openxmlformats.org/officeDocument/2006/relationships/hyperlink" Target="http://www.garant.ru/news/1282007/" TargetMode="External"/><Relationship Id="rId26" Type="http://schemas.openxmlformats.org/officeDocument/2006/relationships/hyperlink" Target="http://www.garant.ru/news/1281918/" TargetMode="External"/><Relationship Id="rId3" Type="http://schemas.openxmlformats.org/officeDocument/2006/relationships/settings" Target="settings.xml"/><Relationship Id="rId21" Type="http://schemas.openxmlformats.org/officeDocument/2006/relationships/hyperlink" Target="https://pb.nalog.ru/calculator.html" TargetMode="External"/><Relationship Id="rId7" Type="http://schemas.openxmlformats.org/officeDocument/2006/relationships/hyperlink" Target="http://www.garant.ru/hotlaw/important/" TargetMode="External"/><Relationship Id="rId12" Type="http://schemas.openxmlformats.org/officeDocument/2006/relationships/hyperlink" Target="http://www.garant.ru/news/1281459/" TargetMode="External"/><Relationship Id="rId17" Type="http://schemas.openxmlformats.org/officeDocument/2006/relationships/hyperlink" Target="http://www.garant.ru/news/1282046/" TargetMode="External"/><Relationship Id="rId25" Type="http://schemas.openxmlformats.org/officeDocument/2006/relationships/hyperlink" Target="http://www.garant.ru/news/1279767/" TargetMode="External"/><Relationship Id="rId2" Type="http://schemas.openxmlformats.org/officeDocument/2006/relationships/styles" Target="styles.xml"/><Relationship Id="rId16" Type="http://schemas.openxmlformats.org/officeDocument/2006/relationships/hyperlink" Target="http://www.garant.ru/news/1281980/" TargetMode="External"/><Relationship Id="rId20" Type="http://schemas.openxmlformats.org/officeDocument/2006/relationships/hyperlink" Target="http://www.garant.ru/news/1282149/" TargetMode="External"/><Relationship Id="rId1" Type="http://schemas.openxmlformats.org/officeDocument/2006/relationships/numbering" Target="numbering.xml"/><Relationship Id="rId6" Type="http://schemas.openxmlformats.org/officeDocument/2006/relationships/hyperlink" Target="http://www.garant.ru/news/1281153/" TargetMode="External"/><Relationship Id="rId11" Type="http://schemas.openxmlformats.org/officeDocument/2006/relationships/hyperlink" Target="http://www.garant.ru/news/1281348/" TargetMode="External"/><Relationship Id="rId24" Type="http://schemas.openxmlformats.org/officeDocument/2006/relationships/hyperlink" Target="http://www.garant.ru/news/1280338/" TargetMode="External"/><Relationship Id="rId5" Type="http://schemas.openxmlformats.org/officeDocument/2006/relationships/hyperlink" Target="http://www.garant.ru/hotlaw/important/" TargetMode="External"/><Relationship Id="rId15" Type="http://schemas.openxmlformats.org/officeDocument/2006/relationships/hyperlink" Target="http://www.garant.ru/news/1281817/" TargetMode="External"/><Relationship Id="rId23" Type="http://schemas.openxmlformats.org/officeDocument/2006/relationships/hyperlink" Target="https://docs.google.com/forms/d/e/1FAIpQLSdaBlSb4kCgV1qoOef8WGLYwkT3ZdEvJmB6u6ulIVHgbFFs0g/viewform?vc=0&amp;c=0&amp;w=1&amp;usp=mail_form_link" TargetMode="External"/><Relationship Id="rId28" Type="http://schemas.openxmlformats.org/officeDocument/2006/relationships/theme" Target="theme/theme1.xml"/><Relationship Id="rId10" Type="http://schemas.openxmlformats.org/officeDocument/2006/relationships/hyperlink" Target="http://www.garant.ru/news/1281344/" TargetMode="External"/><Relationship Id="rId19" Type="http://schemas.openxmlformats.org/officeDocument/2006/relationships/hyperlink" Target="http://www.garant.ru/news/1282012/" TargetMode="External"/><Relationship Id="rId4" Type="http://schemas.openxmlformats.org/officeDocument/2006/relationships/webSettings" Target="webSettings.xml"/><Relationship Id="rId9" Type="http://schemas.openxmlformats.org/officeDocument/2006/relationships/hyperlink" Target="http://www.garant.ru/news/1281315/" TargetMode="External"/><Relationship Id="rId14" Type="http://schemas.openxmlformats.org/officeDocument/2006/relationships/hyperlink" Target="http://www.garant.ru/news/1281458/" TargetMode="External"/><Relationship Id="rId22" Type="http://schemas.openxmlformats.org/officeDocument/2006/relationships/hyperlink" Target="https://pb.nalog.ru/calculator.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6452</Words>
  <Characters>36778</Characters>
  <Application>Microsoft Office Word</Application>
  <DocSecurity>0</DocSecurity>
  <Lines>306</Lines>
  <Paragraphs>86</Paragraphs>
  <ScaleCrop>false</ScaleCrop>
  <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2019-07-15T05:47:00Z</dcterms:created>
  <dcterms:modified xsi:type="dcterms:W3CDTF">2019-07-15T05:47:00Z</dcterms:modified>
</cp:coreProperties>
</file>