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При расчетах за образовательные услуги ИП должны применять ККТ</w:t>
      </w:r>
    </w:p>
    <w:p w:rsidR="009B7044" w:rsidRDefault="009B7044" w:rsidP="009B7044">
      <w:pPr>
        <w:jc w:val="both"/>
        <w:rPr>
          <w:rFonts w:ascii="Times New Roman" w:hAnsi="Times New Roman" w:cs="Times New Roman"/>
          <w:color w:val="000000"/>
          <w:sz w:val="26"/>
          <w:szCs w:val="26"/>
        </w:rPr>
      </w:pPr>
      <w:r>
        <w:rPr>
          <w:rFonts w:ascii="Times New Roman" w:hAnsi="Times New Roman" w:cs="Times New Roman"/>
          <w:color w:val="000000"/>
          <w:sz w:val="26"/>
          <w:szCs w:val="26"/>
        </w:rPr>
        <w:t>9 августа 2019</w:t>
      </w:r>
    </w:p>
    <w:p w:rsidR="009B7044" w:rsidRDefault="009B7044" w:rsidP="009B7044">
      <w:pPr>
        <w:jc w:val="both"/>
        <w:rPr>
          <w:rFonts w:ascii="Times New Roman" w:hAnsi="Times New Roman" w:cs="Times New Roman"/>
          <w:color w:val="000000"/>
          <w:sz w:val="26"/>
          <w:szCs w:val="26"/>
        </w:rPr>
      </w:pPr>
      <w:r>
        <w:rPr>
          <w:rFonts w:ascii="Times New Roman" w:hAnsi="Times New Roman" w:cs="Times New Roman"/>
          <w:color w:val="000000"/>
          <w:sz w:val="26"/>
          <w:szCs w:val="26"/>
        </w:rPr>
        <w:t>Контрольно-кассовая техника может не применяться при осуществлении расчетов образовательными организациями при оказании услуг населению в сфере образования. В свою очередь образовательными организациями признаются некоммерческие организации, осуществляющие на основании лицензии образовательную деятельность в качестве основного вида деятельности.</w:t>
      </w:r>
    </w:p>
    <w:p w:rsidR="009B7044" w:rsidRDefault="009B7044" w:rsidP="009B7044">
      <w:pPr>
        <w:jc w:val="both"/>
        <w:rPr>
          <w:rFonts w:ascii="Times New Roman" w:hAnsi="Times New Roman" w:cs="Times New Roman"/>
          <w:color w:val="000000"/>
          <w:sz w:val="26"/>
          <w:szCs w:val="26"/>
        </w:rPr>
      </w:pPr>
      <w:r>
        <w:rPr>
          <w:rFonts w:ascii="Times New Roman" w:hAnsi="Times New Roman" w:cs="Times New Roman"/>
          <w:color w:val="000000"/>
          <w:sz w:val="26"/>
          <w:szCs w:val="26"/>
        </w:rPr>
        <w:t>ИП, осуществляющие образовательную деятельность, не подпадают под освобождение от применения ККТ (Письмо Федеральной налоговой службы от 25 июля 2019 г. N ЕД-3-20/6923@).</w:t>
      </w:r>
    </w:p>
    <w:p w:rsidR="009B7044" w:rsidRDefault="009B7044" w:rsidP="009B7044">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Источник: Система ГАРАНТ </w:t>
      </w:r>
      <w:hyperlink r:id="rId5" w:history="1">
        <w:r>
          <w:rPr>
            <w:rStyle w:val="a3"/>
            <w:rFonts w:ascii="Times New Roman" w:hAnsi="Times New Roman" w:cs="Times New Roman"/>
            <w:sz w:val="26"/>
            <w:szCs w:val="26"/>
          </w:rPr>
          <w:t>https://www.garant.ru/news/1286808/</w:t>
        </w:r>
      </w:hyperlink>
    </w:p>
    <w:p w:rsidR="009B7044" w:rsidRDefault="009B7044" w:rsidP="009B7044">
      <w:pPr>
        <w:jc w:val="both"/>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Разработано положение о ГИС учета и контроля за обращением с отходами I и II классов опасности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9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Соответствующий проект правительственного постановления направлен на независимую антикоррупционную экспертизу (она продлится до 15 августа). Документ регламентирует порядок создания, эксплуатации и модернизации государственной информационной системы учета и контроля за обращением с отходами I и II классов опасности (далее – ГИС, система).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Выделены ключевые цели функционирования ГИС: информационное обеспечение деятельности по обращению с отходами I и II классов опасности; информационная поддержка управленческих решений по вопросам обращения с такими отходами; своевременное выявление и предотвращение нарушений при обращении с отходами. Перечислены принципы ее функционирования, в т. ч. исключение дублирования информации, размещение сведений на основе данных, представленных ИП, уполномоченными лицами организаций и операторов по обращению с отходами, а также обеспечение полноты, достоверности, актуальности и целостности информации в системе.</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В качестве обладателя информации, содержащейся в ГИС, указана Российская Федерация, а в качестве пользователей – органы госвласти и местного самоуправления, юридические и физические лица. Конкретизирован состав сведений, размещаемых в ГИС – он включает сведения о (об):</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отходах I и II классов опасности, в т. ч. информацию об их образовании, сборе, транспортировании, обработке, утилизации, обезвреживании, размещении;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паспортах на такие отходы и на отходы, образовавшиеся в результате их обработки, обезвреживания и утилизации;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ИП и юрлицах, в процессе хозяйственной или иной деятельности которых образуются отходы, операторах по обращению с отходами I и II классов опасности, региональных операторах, в процессе деятельности которых образуются отходы;</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нормативах образования отходов и лимитах на их размещение;</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лицензиях на право осуществления деятельности по сбору, транспортированию, обработке, утилизации, обезвреживанию, размещению отходов I-IV классов опасности в части обращения с отходами I и II классов опасности;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договорах на оказание услуг по обращению с отходами I и II классов опасности и данные об их исполнении.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Проектом постановления определены поставщики информации в ГИС, среди которых не только Росприроднадзор, но и юрлица, ИП, осуществляющие </w:t>
      </w:r>
      <w:r>
        <w:rPr>
          <w:rFonts w:ascii="Times New Roman" w:hAnsi="Times New Roman" w:cs="Times New Roman"/>
          <w:sz w:val="26"/>
          <w:szCs w:val="26"/>
        </w:rPr>
        <w:lastRenderedPageBreak/>
        <w:t>деятельность в сфере обращения с отходами I и II классов опасности (включая тех, в процессе хозяйственной или иной деятельности которых образуются отходы I и II классов опасности, операторов по обращению с такими отходами и региональных операторов). Закреплены функции оператора системы. Установлены требования к поставщикам информации и сроки представления ими сведений в ГИС. Оговорено, что представление информации пользователям системы осуществляется с использованием усиленной квалифицированной электронной подписи.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Источник: Система ГАРАНТ </w:t>
      </w:r>
      <w:hyperlink r:id="rId6" w:history="1">
        <w:r>
          <w:rPr>
            <w:rStyle w:val="a3"/>
            <w:rFonts w:ascii="Times New Roman" w:hAnsi="Times New Roman" w:cs="Times New Roman"/>
            <w:sz w:val="26"/>
            <w:szCs w:val="26"/>
          </w:rPr>
          <w:t>https://www.garant.ru/news/1286929/</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Проверки организаций, занимающихся частной охранной деятельностью, вывели из сферы регулирования Закона № 294-фз</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9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Соответствующие поправки внесены в Закон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Закон о частной детективной и охранной деятельности; они направлены на усиление госконтроля за частной охранной деятельностью (Федеральный закон от 2 августа 2019 г. № 310-ФЗ).</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Закон № 294-ФЗ и так допускал устанавливать особенности организации и проведения проверок частных охранных организаций в части, касающейся вида, предмета, оснований, сроков и периодичности, уведомлений о проведении внеплановых выездных проверок и согласования таких проверок с прокуратурой, если они проводятся лицензирующим органом (п. 2 ч. 4 ст. 1 Закона № 294-ФЗ). Выведение же из-под Закона 294-ФЗ таких проверок позволит проверяющим не раскрывать планы проверок, не фиксировать результаты в едином реестре проверок, не согласовывать с прокуратурой внеплановые выездные проверки.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Источник: Система ГАРАНТ</w:t>
      </w:r>
      <w:r>
        <w:t xml:space="preserve"> </w:t>
      </w:r>
      <w:hyperlink r:id="rId7" w:history="1">
        <w:r>
          <w:rPr>
            <w:rStyle w:val="a3"/>
            <w:rFonts w:ascii="Times New Roman" w:hAnsi="Times New Roman" w:cs="Times New Roman"/>
            <w:sz w:val="26"/>
            <w:szCs w:val="26"/>
          </w:rPr>
          <w:t>https://www.garant.ru/news/1286806/</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Уведомляем Росздравнадзор о начале деятельности в сфере обращения медизделий: утвержден регламент</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8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Росздравнадзор утвердил порядок приема от юридических лиц и ИП уведомлений о начале следующих видов деятельности (Приказ Федеральной службы по надзору в сфере здравоохранения от 25 апреля 2019 г. № 3239):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технические испытания медизделий,</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токсикологические исследования медизделий,</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изготовление медизделий,</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ввоз/вывоз, хранение, транспортировка медизделий,</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утилизация/уничтожение медизделий.</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Хозяйствующие субъекты, приступающие к указанным видам деятельности, обязаны уведомлять об этом Росздравнадзор в силу указаний Федерального закона о защите прав хозяйствующих субъектов при осуществлении государственного контроля (надзора). Уведомления необходимы Росздравнадзору для планирования своей деятельности. За уклонение от этой обязанности можно поплатиться административным штрафом.</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Госуслуга по приему и регистрации уведомлений оказывается ведомством бесплатно. Документы можно подать как в бумажном виде, так и в электронном виде – через портал госуслуг или сайт Росздравнадзора. В МФЦ уведомление не возьмут.</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lastRenderedPageBreak/>
        <w:t>Принятое уведомление вносится в общедоступный Реестр уведомлений об осуществлении деятельности в сфере обращения медизделий.</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Указанный порядок не распространяется на уведомлениях о начале КИ медизделий, их производства, монтажа, наладки, применения, эксплуатации, в том числе технического обслуживания, а также ремонта.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Новый регламент принят взамен регламента, утвержденного Минздравом.</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Источник: Система ГАРАНТ</w:t>
      </w:r>
      <w:r>
        <w:t xml:space="preserve"> </w:t>
      </w:r>
      <w:hyperlink r:id="rId8" w:history="1">
        <w:r>
          <w:rPr>
            <w:rStyle w:val="a3"/>
            <w:rFonts w:ascii="Times New Roman" w:hAnsi="Times New Roman" w:cs="Times New Roman"/>
            <w:sz w:val="26"/>
            <w:szCs w:val="26"/>
          </w:rPr>
          <w:t>https://www.garant.ru/news/1286641/</w:t>
        </w:r>
      </w:hyperlink>
    </w:p>
    <w:p w:rsidR="009B7044" w:rsidRDefault="009B7044" w:rsidP="009B7044">
      <w:pPr>
        <w:jc w:val="both"/>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Выбранная застройщиком УК не вправе управлять МКД, пока его не внесут в реестр лицензий</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8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По мнению Минстроя России, управляющая организация не вправе приступать к деятельности по управлению МКД до внесения изменений в реестр лицензий субъекта РФ, даже если эта управляющая организация заключила договор управления МКД с застройщиком многоквартирного дома в день получения застройщиком разрешения на ввод данного МКД (Письмо Министерства строительства и жилищно-коммунального хозяйства РФ от 9 июля 2019 г. № 25007-ОГ/04).</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Правовое обоснование:</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в соответствии с действующей редакцией ч. 7 ст. 162 ЖК РФ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РФ в связи с заключением договора управления таким домом;</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таким образом, управляющая организация не в праве приступать к деятельности по управлению многоквартирным домом до внесения изменений в реестр лицензий субъекта Российской Федерации.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Источник: Система ГАРАНТ</w:t>
      </w:r>
      <w:r>
        <w:t xml:space="preserve"> </w:t>
      </w:r>
      <w:hyperlink r:id="rId9" w:history="1">
        <w:r>
          <w:rPr>
            <w:rStyle w:val="a3"/>
            <w:rFonts w:ascii="Times New Roman" w:hAnsi="Times New Roman" w:cs="Times New Roman"/>
            <w:sz w:val="26"/>
            <w:szCs w:val="26"/>
          </w:rPr>
          <w:t>https://www.garant.ru/news/1286635/</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Правительство РФ намерено установить меры ответственности за умышленное затягивание и срыв госзакупок</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8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Завершить разработку соответствующих поправок в КоАП и Уголовный кодекс поручено ФАС, Минфину, Минюсту России при участии Генеральной прокуратуры РФ и МВД России. Такое поручение в числе прочих Председатель Правительства РФ Дмитрий Медведев дал по итогам совещания о социальном развитии центров экономического роста на Дальнем Востоке.</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Речь идет об изменениях, касающихся установления мер административной и уголовной ответственности за умышленное затягивание и срыв закупок для обеспечения государственных и муниципальных нужд, а также за другие злоупотребления в сфере госзакупок. Законопроекты должны быть внесены в кабинет министров до 5 сентября. Минфин и ФАС России вместе с заинтересованными федеральными органами исполнительной власти займутся проработкой вопроса о необходимости усиления квалификационных требований к участникам закупок отдельных видов товаров, работ, услуг для обеспечения государственных и муниципальных нужд.</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Часть поручений касается сферы строительства. Минстрою России следует до 1 октября текущего года представить предложения по совершенствованию порядка проведения экспертизы проектной документации. Они должны касаться улучшения </w:t>
      </w:r>
      <w:r>
        <w:rPr>
          <w:rFonts w:ascii="Times New Roman" w:hAnsi="Times New Roman" w:cs="Times New Roman"/>
          <w:sz w:val="26"/>
          <w:szCs w:val="26"/>
        </w:rPr>
        <w:lastRenderedPageBreak/>
        <w:t>качества проверки достоверности определения сметной стоимости строительства объектов капитального строительства и повышения точности определения реальной (рыночной) сметной стоимости строительства. Региональным властям в целях сокращения сроков реализации инвестиционно-строительных проектов рекомендовано использовать экономически эффективную проектную документацию повторного использования, сведения о которой включены в единый государственный реестр заключений экспертизы проектной документации объектов капстроительства.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Согласно поручениям заинтересованными органами власти будут проработаны и подходы по учету зарплаты работников, выполняющих временную работу или работающих вахтовым методом, при расчете статистических показателей, касающихся среднемесячной зарплаты работников. Результаты этой работы Правительство РФ оценит до 2 сентября 2019 г.</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Источник: Система ГАРАНТ</w:t>
      </w:r>
      <w:r>
        <w:t xml:space="preserve"> </w:t>
      </w:r>
      <w:hyperlink r:id="rId10" w:history="1">
        <w:r>
          <w:rPr>
            <w:rStyle w:val="a3"/>
            <w:rFonts w:ascii="Times New Roman" w:hAnsi="Times New Roman" w:cs="Times New Roman"/>
            <w:sz w:val="26"/>
            <w:szCs w:val="26"/>
          </w:rPr>
          <w:t>https://www.garant.ru/news/1286636/</w:t>
        </w:r>
      </w:hyperlink>
    </w:p>
    <w:p w:rsidR="009B7044" w:rsidRDefault="009B7044" w:rsidP="009B7044">
      <w:pPr>
        <w:jc w:val="both"/>
        <w:rPr>
          <w:rFonts w:ascii="Times New Roman" w:hAnsi="Times New Roman" w:cs="Times New Roman"/>
          <w:b/>
          <w:bCs/>
          <w:color w:val="7030A0"/>
          <w:sz w:val="26"/>
          <w:szCs w:val="26"/>
          <w:u w:val="single"/>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Срок давности привлечения к административной ответственности за непредоставление статотчетности могут увеличить до двух лет</w:t>
      </w:r>
    </w:p>
    <w:p w:rsidR="009B7044" w:rsidRDefault="009B7044" w:rsidP="009B7044">
      <w:pPr>
        <w:jc w:val="both"/>
        <w:rPr>
          <w:rFonts w:ascii="Times New Roman" w:hAnsi="Times New Roman" w:cs="Times New Roman"/>
          <w:color w:val="000000"/>
          <w:sz w:val="26"/>
          <w:szCs w:val="26"/>
        </w:rPr>
      </w:pPr>
      <w:r>
        <w:rPr>
          <w:rFonts w:ascii="Times New Roman" w:hAnsi="Times New Roman" w:cs="Times New Roman"/>
          <w:color w:val="000000"/>
          <w:sz w:val="26"/>
          <w:szCs w:val="26"/>
        </w:rPr>
        <w:t>8 августа 2019</w:t>
      </w:r>
    </w:p>
    <w:p w:rsidR="009B7044" w:rsidRDefault="009B7044" w:rsidP="009B7044">
      <w:pPr>
        <w:jc w:val="both"/>
        <w:rPr>
          <w:rFonts w:ascii="Times New Roman" w:hAnsi="Times New Roman" w:cs="Times New Roman"/>
          <w:color w:val="000000"/>
          <w:sz w:val="26"/>
          <w:szCs w:val="26"/>
        </w:rPr>
      </w:pPr>
      <w:r>
        <w:rPr>
          <w:rFonts w:ascii="Times New Roman" w:hAnsi="Times New Roman" w:cs="Times New Roman"/>
          <w:color w:val="000000"/>
          <w:sz w:val="26"/>
          <w:szCs w:val="26"/>
        </w:rPr>
        <w:t>Минэкономразвития России предложил внести изменения в КоАП к части увеличения срока давности для административных нарушений законодательства об официальном статистическом учете.</w:t>
      </w:r>
    </w:p>
    <w:p w:rsidR="009B7044" w:rsidRDefault="009B7044" w:rsidP="009B7044">
      <w:pPr>
        <w:jc w:val="both"/>
        <w:rPr>
          <w:rFonts w:ascii="Times New Roman" w:hAnsi="Times New Roman" w:cs="Times New Roman"/>
          <w:color w:val="000000"/>
          <w:sz w:val="26"/>
          <w:szCs w:val="26"/>
        </w:rPr>
      </w:pPr>
      <w:r>
        <w:rPr>
          <w:rFonts w:ascii="Times New Roman" w:hAnsi="Times New Roman" w:cs="Times New Roman"/>
          <w:color w:val="000000"/>
          <w:sz w:val="26"/>
          <w:szCs w:val="26"/>
        </w:rPr>
        <w:t>В настоящее время рассмотрение дел о привлечении к административной ответственности за непредоставление в установленном порядке или предоставление позже срока статотчетности осуществляется Росстатом и его территориальными органами в срок до двух месяцев со дня совершения административного правонарушения (ст. 4.5, ст. 23.53 КоАП РФ).</w:t>
      </w:r>
    </w:p>
    <w:p w:rsidR="009B7044" w:rsidRDefault="009B7044" w:rsidP="009B7044">
      <w:pPr>
        <w:jc w:val="both"/>
        <w:rPr>
          <w:rFonts w:ascii="Times New Roman" w:hAnsi="Times New Roman" w:cs="Times New Roman"/>
          <w:color w:val="000000"/>
          <w:sz w:val="26"/>
          <w:szCs w:val="26"/>
        </w:rPr>
      </w:pPr>
      <w:r>
        <w:rPr>
          <w:rFonts w:ascii="Times New Roman" w:hAnsi="Times New Roman" w:cs="Times New Roman"/>
          <w:color w:val="000000"/>
          <w:sz w:val="26"/>
          <w:szCs w:val="26"/>
        </w:rPr>
        <w:t>В течении этого времени должен быть проведен весь комплекс процессуальных действий, связанных с осуществлением административного производства. Поскольку правонарушения могут быть выявлены не только Росстатом, но и другими субъектами официального статучета, то, как поясняет законодатель, этого времени часто не хватает для получения всех недостающих материалов и информации, необходимых для возбуждения и рассмотрения дела об административном правонарушении. Ведь подготовка дополнительных запросов для уточнения и анализа полученных сведений из других субъектов статучета зачастую требует много времени и выходит за рамки предусмотренного законодательством срока.</w:t>
      </w:r>
    </w:p>
    <w:p w:rsidR="009B7044" w:rsidRDefault="009B7044" w:rsidP="009B7044">
      <w:pPr>
        <w:jc w:val="both"/>
        <w:rPr>
          <w:rFonts w:ascii="Times New Roman" w:hAnsi="Times New Roman" w:cs="Times New Roman"/>
          <w:color w:val="000000"/>
          <w:sz w:val="26"/>
          <w:szCs w:val="26"/>
        </w:rPr>
      </w:pPr>
      <w:r>
        <w:rPr>
          <w:rFonts w:ascii="Times New Roman" w:hAnsi="Times New Roman" w:cs="Times New Roman"/>
          <w:color w:val="000000"/>
          <w:sz w:val="26"/>
          <w:szCs w:val="26"/>
        </w:rPr>
        <w:t>Но это не единственная причина, по мнению законодателя, для увеличения срока давности. Поскольку некоторые формы федерального статнаблюдения предоставляются только раз в год, то при их повторной несдаче или нарушении срока их предоставления у Росстата нет возможности привлечь к административной ответственности за повторное правонарушение, предусмотренной ч. 2 ст. 13.19 КоАП РФ.</w:t>
      </w:r>
    </w:p>
    <w:p w:rsidR="009B7044" w:rsidRDefault="009B7044" w:rsidP="009B7044">
      <w:pPr>
        <w:jc w:val="both"/>
        <w:rPr>
          <w:rFonts w:ascii="Times New Roman" w:hAnsi="Times New Roman" w:cs="Times New Roman"/>
          <w:color w:val="000000"/>
          <w:sz w:val="26"/>
          <w:szCs w:val="26"/>
        </w:rPr>
      </w:pPr>
      <w:r>
        <w:rPr>
          <w:rFonts w:ascii="Times New Roman" w:hAnsi="Times New Roman" w:cs="Times New Roman"/>
          <w:color w:val="000000"/>
          <w:sz w:val="26"/>
          <w:szCs w:val="26"/>
        </w:rPr>
        <w:t>Как указывается в пояснительной записке к законопроекту, сложившаяся ситуация, по независящим от Росстата объективным причинам, усложняет составление в установленном порядке протоколов об административных правонарушениях, а в ряде случаев делает это невозможным. Это позволяет респондентам избегать привлечения к ответственности и, тем самым, препятствует соблюдению законодательно установленного принципа равенства перед законом.</w:t>
      </w:r>
    </w:p>
    <w:p w:rsidR="009B7044" w:rsidRDefault="009B7044" w:rsidP="009B7044">
      <w:pPr>
        <w:jc w:val="both"/>
        <w:rPr>
          <w:rFonts w:ascii="Times New Roman" w:hAnsi="Times New Roman" w:cs="Times New Roman"/>
          <w:sz w:val="26"/>
          <w:szCs w:val="26"/>
        </w:rPr>
      </w:pPr>
      <w:r>
        <w:rPr>
          <w:rFonts w:ascii="Times New Roman" w:hAnsi="Times New Roman" w:cs="Times New Roman"/>
          <w:color w:val="000000"/>
          <w:sz w:val="26"/>
          <w:szCs w:val="26"/>
        </w:rPr>
        <w:lastRenderedPageBreak/>
        <w:t>Источник: Гарант</w:t>
      </w:r>
      <w:r>
        <w:rPr>
          <w:rFonts w:ascii="Times New Roman" w:hAnsi="Times New Roman" w:cs="Times New Roman"/>
          <w:sz w:val="26"/>
          <w:szCs w:val="26"/>
        </w:rPr>
        <w:t xml:space="preserve"> </w:t>
      </w:r>
      <w:hyperlink r:id="rId11" w:history="1">
        <w:r>
          <w:rPr>
            <w:rStyle w:val="a3"/>
            <w:rFonts w:ascii="Times New Roman" w:hAnsi="Times New Roman" w:cs="Times New Roman"/>
            <w:sz w:val="26"/>
            <w:szCs w:val="26"/>
          </w:rPr>
          <w:t>https://www.garant.ru/news/1286634/</w:t>
        </w:r>
      </w:hyperlink>
    </w:p>
    <w:p w:rsidR="009B7044" w:rsidRDefault="009B7044" w:rsidP="009B7044">
      <w:pPr>
        <w:jc w:val="both"/>
      </w:pPr>
    </w:p>
    <w:p w:rsidR="009B7044" w:rsidRDefault="009B7044" w:rsidP="009B7044">
      <w:pPr>
        <w:jc w:val="both"/>
        <w:rPr>
          <w:rFonts w:ascii="Times New Roman" w:hAnsi="Times New Roman" w:cs="Times New Roman"/>
          <w:b/>
          <w:bCs/>
          <w:color w:val="7030A0"/>
          <w:sz w:val="26"/>
          <w:szCs w:val="26"/>
        </w:rPr>
      </w:pPr>
      <w:r>
        <w:rPr>
          <w:rFonts w:ascii="Times New Roman" w:hAnsi="Times New Roman" w:cs="Times New Roman"/>
          <w:b/>
          <w:bCs/>
          <w:color w:val="7030A0"/>
          <w:sz w:val="26"/>
          <w:szCs w:val="26"/>
        </w:rPr>
        <w:t>Установлены новые требования к приему на работу руководства микрофинансовых организаций и микрокредитных компаний</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8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Внесены поправки в законодательство, направленные на регулирование деятельности микрофинансовых организаций (Федеральный закон от 2 августа 2019 г. № 271-ФЗ). Коррективам подвергся и сам Закон о МФО. Установлено, что лицо, осуществляющее функции главного бухгалтера микрофинансовой компании, должно иметь высшее образование и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 В настоящее время закон предусматривает соответствие таких работников требованиям к образованию и стажу, установленным Законом о бухгалтерском учете, однако этот закон не содержит таких требований ни к главным бухгалтерам в целом, ни к главным бухгалтерам конкретно указанных организаций.</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А для лиц, осуществляющих функции единоличного исполнительного органа микрокредитной компании, устанавливаются такие же требования, как и для руководителей микрофинансовых компаний: высшее образование (бакалавриат, специалитет, магистратура, подготовка кадров высшей квалификации), подтвержденное документом об образовании и о квалификации с представлением копии такого документа, и, если иное не установлено нормативным актом Банка России, опыт руководства финансовой организацией либо структурным подразделением финансовой организации, осуществляющими деятельность на финансовом рынке, или опыт работы на руководящих должностях в органах государственной власти РФ, органах государственной власти субъектов РФ, Банке России не менее двух лет.</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Вводится обязанность микрокредитных компаний в письменной форме уведомлять Банк России о назначении (избрании) на должность и об освобождении от должности лица, осуществляющего функции единоличного исполнительного органа микрокредитной компании, в течение трех рабочих дней со дня принятия соответствующего решения. Порядок направления в Банк России соответствующего уведомления, его форма и перечень прилагаемых к нему документов и сведений должен будет установить ЦБ РФ.</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Эти изменения вступают в силу с 1 июля 2020 года.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Источник: Гарант</w:t>
      </w:r>
      <w:r>
        <w:t xml:space="preserve"> </w:t>
      </w:r>
      <w:hyperlink r:id="rId12" w:history="1">
        <w:r>
          <w:rPr>
            <w:rStyle w:val="a3"/>
            <w:rFonts w:ascii="Times New Roman" w:hAnsi="Times New Roman" w:cs="Times New Roman"/>
            <w:sz w:val="26"/>
            <w:szCs w:val="26"/>
          </w:rPr>
          <w:t>https://www.garant.ru/news/1286673/</w:t>
        </w:r>
      </w:hyperlink>
    </w:p>
    <w:p w:rsidR="009B7044" w:rsidRDefault="009B7044" w:rsidP="009B7044">
      <w:pPr>
        <w:jc w:val="both"/>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Правила функционирования и посещения кинотеатров могут закрепить в законе</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8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Минкультуры России инициировало внесение поправок в Федеральный закон от 22 августа 1996 г. № 126-ФЗ "О государственной поддержке кинематографии Российской Федерации". Соответствующий законопроект вынесен на публичное обсуждение (оно продлится до 28 августа).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lastRenderedPageBreak/>
        <w:t>В частности, спроектирована новая статья, посвященная установлению правил функционирования и посещения кинотеатров. В ней закреплены обязанности демонстраторов фильмов:</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осуществлять показ фильмов, а также поддерживать в кинотеатре необходимый уровень технической оснащенности и безопасности;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информировать посетителей кинотеатра об их действиях в случае угрозы возникновения или при возникновении ЧС, а также организовывать эвакуацию посетителей;</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соблюдать требования Федерального закона от 29 декабря 2010 г. № 436-ФЗ "О защите детей от информации, причиняющей вред их здоровью и развитию";</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утверждать своим локальным актом правила посещения кинотеатра и размещать их для ознакомления зрителей в удобных для обозрения местах и на сайте демонстратора (при его наличии);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предоставлять зрителям возможность до приобретения билета (в т. ч. посредством онлайн-покупки) ознакомиться с правилами посещения кинотеатра.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В законопроекте конкретизируется содержание правил посещения кинотеатра. Они должны включать не только порядок и условия доступа, нахождения и поведения посетителей на территории кинотеатра и в самом кинозале, порядок возврата билетов, но и запреты на пронос в кинотеатр оружия, колющих, режущих или других опасных предметов, взрывчатых, ядовитых, отравляющих и едко пахнущих веществ, радиоактивных материалов, наркотиков и токсических веществ или стимуляторов. Этот запрет можно распространить и на пиротехнические изделия, красящие вещества, громоздкие предметы, продукты питания, а также алкогольные и прохладительные напитки, за исключением тех, продажа которых организована в специализированных торговых точках на территории кинотеатра.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Вместе с тем для посетителей кинотеатра предусматривается прямой запрет на проведение фотосъемки, аудио- или видеозаписи демонстрируемых в кинозалах фильмов или их фрагментов вне зависимости от целей такой записи. Оговаривается и возможность удаления зрителя из кинозала в случае нарушения им установленных запретов, общественного порядка и общественной безопасности, несоблюдения правил посещения кинотеатра или причинения вреда его имуществу. В числе прав зрителей – возмещение стоимости билета при отмене, замене или некачественном показе фильма по вине демонстратора (при условии обращения к демонстратору не позднее пяти дней после проведения сеанса), осуществление возврата билета и возмещение его стоимости в случае отказа от посещения сеанса по собственной инициативе (это возможно только до начала сеанса).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В случае одобрения инициативы поправки вступят в силу через полгода после официального опубликования закона. При этом Правительство РФ должно будет установить правила показа фильмов в кинотеатрах, а также правила работы кинотеатров и оказания ими услуг.</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Источник: Гарант</w:t>
      </w:r>
      <w:r>
        <w:t xml:space="preserve"> </w:t>
      </w:r>
      <w:hyperlink r:id="rId13" w:history="1">
        <w:r>
          <w:rPr>
            <w:rStyle w:val="a3"/>
            <w:rFonts w:ascii="Times New Roman" w:hAnsi="Times New Roman" w:cs="Times New Roman"/>
            <w:sz w:val="26"/>
            <w:szCs w:val="26"/>
          </w:rPr>
          <w:t>https://www.garant.ru/news/1286780/</w:t>
        </w:r>
      </w:hyperlink>
    </w:p>
    <w:p w:rsidR="009B7044" w:rsidRDefault="009B7044" w:rsidP="009B7044">
      <w:pPr>
        <w:jc w:val="both"/>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Подписан закон о краудфандинге</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8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Президент подписал Закон о краудфандинге (Федеральный закон от 2 августа 2019 г. № 259-ФЗ). В самом законе термин "краудфандинг" не содержится (хотя в первом варианте внесенного в Госдуму проекта этот термин присутствовал), зато законодатель активно расширяет "цифровой" понятийный аппарат за счет введения </w:t>
      </w:r>
      <w:r>
        <w:rPr>
          <w:rFonts w:ascii="Times New Roman" w:hAnsi="Times New Roman" w:cs="Times New Roman"/>
          <w:sz w:val="26"/>
          <w:szCs w:val="26"/>
        </w:rPr>
        <w:lastRenderedPageBreak/>
        <w:t>таких дефиниций как "инвестиционная платформа", "утилитарные цифровые права", "цифровое свидетельство" и др.</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Закон определяет, в чем заключается деятельность по организации привлечения инвестиций; устанавливает требования к инвестиционной платформе, ее оператору и участникам; предусматривает способы инвестирования, порядок и условия инвестирования посредством инвестиционной платформы и др.</w:t>
      </w:r>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Инвестиционная платформа – это информационная система в Интернете, используемая для заключения договоров инвестирования. Доступ к платформе предоставляет оператор, в качестве которого выступает АО или ООО, включенные в спецреестр ЦБ. Капитал оператора должен быть не менее 5 млн рублей. В обязанности оператора входит разработка правил инвестиционной платформы и их раскрытие на своем сайте, а также раскрытие иной информации, идентификация инвесторов и "инвестируемых", взаимодействие с другими операторами инвестплатформ. Оператор не вправе совмещать свою деятельность с иной деятельностью финансовой организации, за исключением брокерской, дилерской и ряда других.</w:t>
      </w:r>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По договору об оказании услуг по содействию в инвестировании оператор предоставляет инвестору доступ к платформе для заключения с лицом, привлекающим инвестиции, договора инвестирования. Договоры инвестирования заключаются путем принятия инвестиционного предложения лица, привлекающего инвестиции, и перечисления на его банковский счет денежных средств инвесторов. Через платформы можно предоставлять займы, приобретать ценные бумаги по закрытой подписке и утилитарные цифровые права (УЦФ). К УЦФ относятся следующие права: право требовать передачи вещи (кроме имущества, права на которое подлежат госрегистрации, или сделки с которым подлежат госрегистрации / нотариальному удостоверению); право требовать передачи исключительных или прав использования результатов интеллектуальной деятельности; право требовать выполнения работ / оказания услуг. УЦФ могут удостоверяться цифровым свидетельством - неэмиссионной бездокументарной ценной бумагой без номинальной стоимости.</w:t>
      </w:r>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Привлекать инвестиции может только юридическое лицо или индивидуальный предприниматель. В течение одного календарного года одно лицо может привлечь с использованием инвестплатформ инвестиций на сумму не более 1 млрд рублей, а инвестор – физическое лицо не может инвестировать более 600 тыс. рублей (за рядом исключений).</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Контролирует деятельность операторов Банк России.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Закон вступает в силу 1 января 2020 года. Организации, уже осуществляющие деятельность по организации привлечения инвестиций с использованием инвестиционных платформ, должны привести свою деятельность в соответствие с требования нового закона до 1 июля 2020 года.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Источник: Гарант</w:t>
      </w:r>
      <w:r>
        <w:t xml:space="preserve"> </w:t>
      </w:r>
      <w:hyperlink r:id="rId14" w:history="1">
        <w:r>
          <w:rPr>
            <w:rStyle w:val="a3"/>
            <w:rFonts w:ascii="Times New Roman" w:hAnsi="Times New Roman" w:cs="Times New Roman"/>
            <w:sz w:val="26"/>
            <w:szCs w:val="26"/>
          </w:rPr>
          <w:t>https://www.garant.ru/news/1286637/</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В России появится сервис по сбору данных и информированию семей с детьми о льготах</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8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lastRenderedPageBreak/>
        <w:t>В нем будут систематизированы сведения о действующих в каждом регионе льготах для семей с детьми, а также представлена контактная информация должностных лиц на местах, у которых граждане смогут узнать о положенных им мерах поддержки. Об этом сообщила первый заместитель Председателя Комитета Госдумы по вопросам семьи, женщин и детей Ольга Окунева.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Инициаторы проекта отмечают, что из-за большого количества мер поддержки семей с детьми, установленных на региональном и муниципальном уровнях, людям очень трудно ориентироваться в массиве законодательства в поисках перечня льгот. Лишь в немногих регионах нужная информация имеется в свободном доступе на сайтах органов исполнительной власти. При этом, по данным социологического исследования ОП РФ, из 3 тыс. опрошенных многодетных семей из 53 регионов России большинство не знает или не пользуется льготами (скидками на оплату услуг ЖКХ, правом на бесплатные лекарства и бесплатное посещение один раз в месяц музеев, парков культуры и отдыха, выставок и т. п.). В рамках работы сервиса планируется наладить линию сбора обратной связи – для выяснения причин неполучения положенных льгот конкретными семьями (из-за проблем на местах или законодательной неточности). </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Сервис по сбору данных и информированию семей с детьми о льготах будет сформирован в удобной и понятной форме. Предполагается, что он начнет действовать уже с ноября текущего года. Его запуск анонсировал инициатор проекта – партия "Единая Россия" на своем официальном сайте. Проект уже получил поддержку профильной комиссии ОП РФ.</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Источник: Гарант </w:t>
      </w:r>
      <w:hyperlink r:id="rId15" w:history="1">
        <w:r>
          <w:rPr>
            <w:rStyle w:val="a3"/>
            <w:rFonts w:ascii="Times New Roman" w:hAnsi="Times New Roman" w:cs="Times New Roman"/>
            <w:sz w:val="26"/>
            <w:szCs w:val="26"/>
          </w:rPr>
          <w:t>https://www.garant.ru/news/1286763/</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Заказчики смогут узнать об участниках, привлеченных к административной ответственности за незаконное вознаграждение от имени организации, в ЕИС</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7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С 1 января 2020 года согласно новым подп. "х" п. 5 и п. 8.1 Правил регистрации участников закупок в ЕИС и ведения единого реестра участников закупок в ходе регистрации участника в ЕИС в составе сведений об участнике будет формироваться информация о его привлечении к административной ответственности за совершение правонарушения, предусмотренного ст. 19.28 КоАП РФ (Незаконное вознаграждение от имени юридического лица) (при наличии), включающая наименование суда, вынесшего постановление о назначении административного наказания, номер дела об административном правонарушении, дату вынесения и дату вступления в законную силу постановления (Постановление Правительства РФ от 18 июля 2019 г. № 917). Указанная информация будет автоматически формироваться и актуализироваться на основании сведений, полученных от Генеральной прокуратуры РФ посредством единой системы межведомственного электронного взаимодействия.</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С указанной даты операторы электронных площадок обязаны информировать заказчиков о фактах привлечения участников к ответственности по ст. 19.28 КоАП РФ. Необходимые изменения будут внесены в п. 28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Согласно ч. 1 ст. 31 Закона № 44-ФЗ при осуществлении закупки заказчик устанавливает единые требования к участникам закупки, в том числе об их </w:t>
      </w:r>
      <w:r>
        <w:rPr>
          <w:rFonts w:ascii="Times New Roman" w:hAnsi="Times New Roman" w:cs="Times New Roman"/>
          <w:sz w:val="26"/>
          <w:szCs w:val="26"/>
        </w:rPr>
        <w:lastRenderedPageBreak/>
        <w:t xml:space="preserve">непривлечении в течение 2 лет до момента подачи заявки к ответственности за совершение административного правонарушения, предусмотренного ст. 19.28 КоАП РФ. В настоящее время реестр юридических лиц, привлеченных к административной ответственности за незаконное вознаграждение, размещен на официальном сайте Генеральной прокуратуры РФ по адресу: </w:t>
      </w:r>
      <w:hyperlink r:id="rId16" w:history="1">
        <w:r>
          <w:rPr>
            <w:rStyle w:val="a3"/>
            <w:rFonts w:ascii="Times New Roman" w:hAnsi="Times New Roman" w:cs="Times New Roman"/>
            <w:sz w:val="26"/>
            <w:szCs w:val="26"/>
          </w:rPr>
          <w:t>http://genproc.gov.ru/</w:t>
        </w:r>
      </w:hyperlink>
      <w:r>
        <w:rPr>
          <w:rFonts w:ascii="Times New Roman" w:hAnsi="Times New Roman" w:cs="Times New Roman"/>
          <w:sz w:val="26"/>
          <w:szCs w:val="26"/>
        </w:rPr>
        <w:t xml:space="preserve"> в разделе "Противодействие коррупции".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Источник: Гарант</w:t>
      </w:r>
      <w:r>
        <w:t xml:space="preserve"> </w:t>
      </w:r>
      <w:hyperlink r:id="rId17" w:history="1">
        <w:r>
          <w:rPr>
            <w:rStyle w:val="a3"/>
            <w:rFonts w:ascii="Times New Roman" w:hAnsi="Times New Roman" w:cs="Times New Roman"/>
            <w:sz w:val="26"/>
            <w:szCs w:val="26"/>
          </w:rPr>
          <w:t>https://www.garant.ru/news/1286547/</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Расширен перечень медицинских показаний к управлению транспортным средством</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7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Официально опубликовано постановление Правительства РФ от 3 августа 2019 г. № 1021, вносящее поправки в Перечень медицинских показаний к управлению транспортным средством, утв. постановлением Правительства РФ от 29 декабря 2014 г. № 1604.</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Документом решен вопрос допуска лиц с отсутствием нижней конечности или стопы к управлению автомобилем – соответствующим показанием дополнен список медпоказаний к управлению транспортным средством с ручным управлением. Такое изменение направлено на совершенствование медицинского обеспечения безопасности дорожного движения и реабилитации инвалидов.</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Медицинскими показаниями к управлению транспортным средством считаются заболевания (состояния), при которых управление автомобилем допускается при оборудовании его специальными приспособлениями, либо при использовании водителем специальных приспособлений или медизделий, либо при наличии у транспортного средства определенных конструктивных характеристик (п. 2 ст. 23.1 Федерального закона от 10 декабря 1995 г. № 196-ФЗ "О безопасности дорожного движения"). При этом выделяются медицинские показания к управлению транспортным средством с ручным управлением, с автоматической трансмиссией, с акустической парковочной системой, а также медпоказания к управлению транспортным средством с использованием водителем медицинских изделий для коррекции зрения или для компенсации потери слуха.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В числе Медицинских показаний к управлению автомобилем с ручным управлением уже значатся деформация стопы, значительно затрудняющая ее движение, укорочение нижней конечности более чем на 6 см, ампутационные культи обоих бедер или обеих голеней, культя бедра или голени одной конечности при значительном нарушении двигательных или статических функций другой, стойкая деформация или заболевание нижних конечностей, таза или позвоночника, значительно затрудняющее стояние и ходьбу, и т. п.</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ГАРАНТ.РУ: </w:t>
      </w:r>
      <w:hyperlink r:id="rId18" w:anchor="ixzz5wYOrg5tm" w:history="1">
        <w:r>
          <w:rPr>
            <w:rStyle w:val="a3"/>
            <w:rFonts w:ascii="Times New Roman" w:hAnsi="Times New Roman" w:cs="Times New Roman"/>
            <w:sz w:val="26"/>
            <w:szCs w:val="26"/>
          </w:rPr>
          <w:t>http://www.garant.ru/news/1286489/#ixzz5wYOrg5tm</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Особенности применения ККТ при удержании из зарплаты сотрудников</w:t>
      </w:r>
    </w:p>
    <w:p w:rsidR="009B7044" w:rsidRDefault="009B7044" w:rsidP="009B7044">
      <w:pPr>
        <w:jc w:val="both"/>
        <w:rPr>
          <w:rFonts w:ascii="Times New Roman" w:hAnsi="Times New Roman" w:cs="Times New Roman"/>
          <w:color w:val="000000"/>
          <w:sz w:val="26"/>
          <w:szCs w:val="26"/>
        </w:rPr>
      </w:pPr>
      <w:r>
        <w:rPr>
          <w:rFonts w:ascii="Times New Roman" w:hAnsi="Times New Roman" w:cs="Times New Roman"/>
          <w:color w:val="000000"/>
          <w:sz w:val="26"/>
          <w:szCs w:val="26"/>
        </w:rPr>
        <w:t>7 августа 2019</w:t>
      </w:r>
    </w:p>
    <w:p w:rsidR="009B7044" w:rsidRDefault="009B7044" w:rsidP="009B7044">
      <w:pPr>
        <w:jc w:val="both"/>
        <w:rPr>
          <w:rFonts w:ascii="Times New Roman" w:hAnsi="Times New Roman" w:cs="Times New Roman"/>
          <w:color w:val="000000"/>
          <w:sz w:val="26"/>
          <w:szCs w:val="26"/>
        </w:rPr>
      </w:pPr>
      <w:r>
        <w:rPr>
          <w:rFonts w:ascii="Times New Roman" w:hAnsi="Times New Roman" w:cs="Times New Roman"/>
          <w:color w:val="000000"/>
          <w:sz w:val="26"/>
          <w:szCs w:val="26"/>
        </w:rPr>
        <w:t>На прошедшем в компании Гарант Всероссийском спутниковом онлайн-семинаре начальник отдела документальных проверок и ревизий Управления экономической безопасности и противодействия коррупции МВД РФ Татьяна Смирнова рассказала о том, в каких случаях законодательство требует обязательного использования ККТ при удержании из зарплаты сотрудников.</w:t>
      </w:r>
    </w:p>
    <w:p w:rsidR="009B7044" w:rsidRDefault="009B7044" w:rsidP="009B7044">
      <w:pPr>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Законодательством установлено, что с 1 июля при удержании из зарплаты за товары, работы и услуги организация обязана выдать чек своему работнику (ст. 1.1 Федерального закона от 22 мая 2003 г. № 54-ФЗ). Эксперт пояснила, что к таким операциям относят, например, выдачу целевого займа, продажу сотруднику собственного производимого товара или удержание из зарплаты частичной стоимости форменной одежды (письмо Департамента налоговой и таможенной политики Минфина России от 12 декабря 2018 г. № 03-01-15/90372).</w:t>
      </w:r>
    </w:p>
    <w:p w:rsidR="009B7044" w:rsidRDefault="009B7044" w:rsidP="009B7044">
      <w:pPr>
        <w:jc w:val="both"/>
        <w:rPr>
          <w:rFonts w:ascii="Times New Roman" w:hAnsi="Times New Roman" w:cs="Times New Roman"/>
          <w:color w:val="000000"/>
          <w:sz w:val="26"/>
          <w:szCs w:val="26"/>
        </w:rPr>
      </w:pPr>
      <w:r>
        <w:rPr>
          <w:rFonts w:ascii="Times New Roman" w:hAnsi="Times New Roman" w:cs="Times New Roman"/>
          <w:color w:val="000000"/>
          <w:sz w:val="26"/>
          <w:szCs w:val="26"/>
        </w:rPr>
        <w:t>На иные же удержания, не связанные с реализацией, кассовый чек не выдается. Например, любые подарки, прощение долга, матпомощь оформляются без ККТ. В эту же категорию входят и компенсация работнику расходов организации по услугам телефонной связи (если сотрудник превысил лимит служебного телефона), оплата парковочных мест (когда парковка принадлежит сторонней фирме, а организация-работодатель заключает с ней договор аренды), оплата штрафов ГИБДД и иное возмещение ущерба. ККТ не применяется при удержании из зарплаты стоимости трудовой книжки (или вкладыша в нее), ведь и в этом случае организация не продает трудовую книжку, а компенсирует свои расходы на ее приобретение (письма Департамента налоговой и таможенной политики Минфина России от 12 декабря 2018 г. № 03-01-15/90372, от 4 декабря 2018 г. № 03-01-15/87763).</w:t>
      </w:r>
    </w:p>
    <w:p w:rsidR="009B7044" w:rsidRDefault="009B7044" w:rsidP="009B7044">
      <w:pPr>
        <w:jc w:val="both"/>
        <w:rPr>
          <w:rFonts w:ascii="Times New Roman" w:hAnsi="Times New Roman" w:cs="Times New Roman"/>
          <w:color w:val="000000"/>
          <w:sz w:val="26"/>
          <w:szCs w:val="26"/>
        </w:rPr>
      </w:pPr>
      <w:r>
        <w:rPr>
          <w:rFonts w:ascii="Times New Roman" w:hAnsi="Times New Roman" w:cs="Times New Roman"/>
          <w:color w:val="000000"/>
          <w:sz w:val="26"/>
          <w:szCs w:val="26"/>
        </w:rPr>
        <w:t>Также Татьяна Смирнова рассказала о применении ККТ при оплате услуг по гражданско-правовым договорам, заключенным с физлицами. Так, например, если организация арендует у сотрудника или иного физлица его машину, квартиру или иное имущество, то чек при выплате вознаграждения не выдается. Если же обратная ситуация – сотрудник взял в аренду машину организации или снимает помещение, находящееся в собственности фирмы, то в этом случае компания обязана выдать чек (письма ФНС России от 10 августа 2018 г. № АС-4-20/15566@, от 14 августа 2018 г. № АС-4-20/15707).</w:t>
      </w:r>
    </w:p>
    <w:p w:rsidR="009B7044" w:rsidRDefault="009B7044" w:rsidP="009B7044">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Источник: Гарант </w:t>
      </w:r>
      <w:hyperlink r:id="rId19" w:history="1">
        <w:r>
          <w:rPr>
            <w:rStyle w:val="a3"/>
            <w:rFonts w:ascii="Times New Roman" w:hAnsi="Times New Roman" w:cs="Times New Roman"/>
            <w:sz w:val="26"/>
            <w:szCs w:val="26"/>
          </w:rPr>
          <w:t>https://www.garant.ru/news/1286542/</w:t>
        </w:r>
      </w:hyperlink>
    </w:p>
    <w:p w:rsidR="009B7044" w:rsidRDefault="009B7044" w:rsidP="009B7044">
      <w:pPr>
        <w:jc w:val="both"/>
        <w:rPr>
          <w:rFonts w:ascii="Times New Roman" w:hAnsi="Times New Roman" w:cs="Times New Roman"/>
          <w:b/>
          <w:bCs/>
          <w:color w:val="7030A0"/>
          <w:sz w:val="26"/>
          <w:szCs w:val="26"/>
          <w:u w:val="single"/>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ВС РФ отменил штраф за ошибку в отчетном периоде в форме СЗВ-М</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07.08.2019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При сдаче отчетности по форме СЗВ-М организация неверно указала отчетный период (декабрь вместо ноября). Позднее страхователь самостоятельно обнаружил ошибку и направил отчет повторно. Пенсионный фонд посчитал, что сведения за ноябрь фактически были представлены с опозданием, в связи с чем организация была привлечена к ответственности в виде штрафа. Суды трех инстанций посчитали позицию Пенсионного фонда правомерной. </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Верховный Суд РФ решения нижестоящих судов отменил. Он указал, что страхователь имеет право дополнять и уточнять (исправлять) ранее представленные в Пенсионный фонд сведения в отношении застрахованных лиц. При этом Законом не установлен срок, в течение которого страхователь самостоятельно может выявить ошибку или неполноту в представленных сведениях, до их обнаружения пенсионным фондом, и представить в фонд достоверные сведения.</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Формальный подход к вопросу привлечения плательщика страховых взносов к ответственности за совершение правонарушения и наложения на него штрафа является недопустимым. Любая санкция должна применяться с учетом ряда принципов: виновность и противоправность деяния, соразмерность наказания, презумпция невиновности.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lastRenderedPageBreak/>
        <w:t>Из анализа норм действующего пенсионного законодательства следует воля законодателя на поощрение добросовестных страхователей и освобождение их от ответственности в случае самостоятельного выявления ими ошибок и устранения их путем предоставления соответствующих сведений в контролирующие органы. Такой правоприменительный подход позволяет стимулировать заинтересованность страхователей в самостоятельном и своевременном устранении допущенных ошибок, более оперативной обработке сведений индивидуального (персонифицированного) учета органами пенсионного фонда, что в конечном итоге способствует соблюдению прав и интересов застрахованных лиц.</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ВС РФ указал, что в рассматриваемой ситуации организация не может быть привлечена к ответственности в виде штрафа. Кроме того, суд также указал на истечение сроков привлечения к ответственности страхователя за вменяемое ему правонарушение.</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Источник: Гарант </w:t>
      </w:r>
      <w:hyperlink r:id="rId20" w:history="1">
        <w:r>
          <w:rPr>
            <w:rStyle w:val="a3"/>
            <w:rFonts w:ascii="Times New Roman" w:hAnsi="Times New Roman" w:cs="Times New Roman"/>
            <w:sz w:val="26"/>
            <w:szCs w:val="26"/>
          </w:rPr>
          <w:t>https://www.garant.ru/news/1286528/</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color w:val="7030A0"/>
          <w:sz w:val="26"/>
          <w:szCs w:val="26"/>
          <w:u w:val="single"/>
        </w:rPr>
      </w:pPr>
      <w:r>
        <w:rPr>
          <w:rFonts w:ascii="Times New Roman" w:hAnsi="Times New Roman" w:cs="Times New Roman"/>
          <w:color w:val="7030A0"/>
          <w:sz w:val="26"/>
          <w:szCs w:val="26"/>
          <w:u w:val="single"/>
        </w:rPr>
        <w:t>Регистрация медицинских изделий – по регламенту Росздравнадзора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7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Росздравнадзор заново утвердил порядок регистрации медицинских изделий. Существенных изменений он не претерпел (Приказ Федеральной службы по надзору в сфере здравоохранения от 6 мая 2019 г. № 3371).</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Ведомство проводит регистрацию максимум за 50 рабочих дней. В этот период не включаются клинические испытания.</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Все необходимые материалы можно подать различными способами, в т. ч. через Единый портал госуслуг.</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Как и ранее, заявителям выдаются регистрационные удостоверения на изделия.</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Источник: Гарант </w:t>
      </w:r>
      <w:hyperlink r:id="rId21" w:history="1">
        <w:r>
          <w:rPr>
            <w:rStyle w:val="a3"/>
            <w:rFonts w:ascii="Times New Roman" w:hAnsi="Times New Roman" w:cs="Times New Roman"/>
            <w:sz w:val="26"/>
            <w:szCs w:val="26"/>
          </w:rPr>
          <w:t>https://www.garant.ru/news/1286545/</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C 13 августа расширен перечень лицензируемых видов деятельности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7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К числу предусмотренных Законом о лицензировании видов деятельности, на осуществление которых требуется лицензия, отнесены (Федеральный закон от 2 августа 2019 № 282-ФЗ):</w:t>
      </w:r>
    </w:p>
    <w:p w:rsidR="009B7044" w:rsidRDefault="009B7044" w:rsidP="009B7044">
      <w:pPr>
        <w:jc w:val="both"/>
        <w:rPr>
          <w:rFonts w:ascii="Times New Roman" w:hAnsi="Times New Roman" w:cs="Times New Roman"/>
          <w:sz w:val="26"/>
          <w:szCs w:val="26"/>
        </w:rPr>
      </w:pPr>
      <w:r>
        <w:rPr>
          <w:rFonts w:ascii="Times New Roman" w:hAnsi="Times New Roman" w:cs="Times New Roman"/>
          <w:b/>
          <w:bCs/>
          <w:sz w:val="26"/>
          <w:szCs w:val="26"/>
        </w:rPr>
        <w:t>деятельность по обработке (переработке) лома и отходов драгоценных металлов</w:t>
      </w:r>
      <w:r>
        <w:rPr>
          <w:rFonts w:ascii="Times New Roman" w:hAnsi="Times New Roman" w:cs="Times New Roman"/>
          <w:sz w:val="26"/>
          <w:szCs w:val="26"/>
        </w:rPr>
        <w:t xml:space="preserve">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9B7044" w:rsidRDefault="009B7044" w:rsidP="009B7044">
      <w:pPr>
        <w:jc w:val="both"/>
        <w:rPr>
          <w:rFonts w:ascii="Times New Roman" w:hAnsi="Times New Roman" w:cs="Times New Roman"/>
          <w:b/>
          <w:bCs/>
          <w:sz w:val="26"/>
          <w:szCs w:val="26"/>
        </w:rPr>
      </w:pPr>
      <w:r>
        <w:rPr>
          <w:rFonts w:ascii="Times New Roman" w:hAnsi="Times New Roman" w:cs="Times New Roman"/>
          <w:b/>
          <w:bCs/>
          <w:sz w:val="26"/>
          <w:szCs w:val="26"/>
        </w:rPr>
        <w:t>деятельность по скупке у физических лиц ювелирных и других изделий из драгоценных металлов и драгоценных камней, лома таких изделий.</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Соответствующий изменения внесены также в Закон о драгоценных металлах.</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Поправки вступят в силу 13 августа 2019 года. Юридические лица и индивидуальные предприниматели, осуществлявшие на эту дату соответствующие виды деятельности, обязаны получить лицензию либо прекратить их осуществление в течение 18 месяцев.</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Источник: Гарант </w:t>
      </w:r>
      <w:hyperlink r:id="rId22" w:history="1">
        <w:r>
          <w:rPr>
            <w:rStyle w:val="a3"/>
            <w:rFonts w:ascii="Times New Roman" w:hAnsi="Times New Roman" w:cs="Times New Roman"/>
            <w:sz w:val="26"/>
            <w:szCs w:val="26"/>
          </w:rPr>
          <w:t>https://www.garant.ru/news/1286492/</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В старых многоквартирных домах устанавливать счетчики необязательно</w:t>
      </w:r>
    </w:p>
    <w:p w:rsidR="009B7044" w:rsidRDefault="009B7044" w:rsidP="009B7044">
      <w:pPr>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 xml:space="preserve">6 </w:t>
      </w:r>
      <w:r>
        <w:rPr>
          <w:rFonts w:ascii="Times New Roman" w:hAnsi="Times New Roman" w:cs="Times New Roman"/>
          <w:sz w:val="26"/>
          <w:szCs w:val="26"/>
        </w:rPr>
        <w:t>августа</w:t>
      </w:r>
      <w:r>
        <w:rPr>
          <w:rFonts w:ascii="Times New Roman" w:hAnsi="Times New Roman" w:cs="Times New Roman"/>
          <w:sz w:val="26"/>
          <w:szCs w:val="26"/>
          <w:lang w:val="en-US"/>
        </w:rPr>
        <w:t xml:space="preserve">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Старые дома (с износом более 70%), не попавшие в региональную программу капремонта, а также дома "под реновацию" освободили от обязанности ставить счетчики воды, электричества, тепла и газа (Федеральный закон от 26 июля 2019 г. № 241-ФЗ). Речь и об общедомовых приборах учета, и об индивидуальных.</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Поправки в Закон об энергосбережении вступили в силу 6 августа 2019 года.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Источник: Гарант</w:t>
      </w:r>
      <w:r>
        <w:t xml:space="preserve"> </w:t>
      </w:r>
      <w:hyperlink r:id="rId23" w:history="1">
        <w:r>
          <w:rPr>
            <w:rStyle w:val="a3"/>
            <w:rFonts w:ascii="Times New Roman" w:hAnsi="Times New Roman" w:cs="Times New Roman"/>
            <w:sz w:val="26"/>
            <w:szCs w:val="26"/>
          </w:rPr>
          <w:t>https://www.garant.ru/news/1286330/</w:t>
        </w:r>
      </w:hyperlink>
    </w:p>
    <w:p w:rsidR="009B7044" w:rsidRDefault="009B7044" w:rsidP="009B7044">
      <w:pPr>
        <w:jc w:val="both"/>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Разработан законопроект о национальной системе управления данными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6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Минэкономразвития России направило соответствующий документ на независимую антикоррупционную экспертизу (она продлится до 11 августа).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Законопроект закрепляет правовые основы формирования и функционирования национальной системы управления данными (НСУД) при осуществлении деятельности по обработке информации органами власти всех уровней, органами управления государственных внебюджетных фондов, подведомственными им организациями, Банком России, а также госкорпорациями, госкомпаниями, субъектами естественных монополий, организациями, осуществляющими регулируемые виды деятельности, а также хозяйственными обществами с долей госучастия в уставном капитале более 50%. Им предстоит перейти на системную организацию работы в области обработки госданных, включающей их формирование (сбор, запись, систематизацию, исследование, анализ, накопление), изменение, хранение, использование (предоставление (обмен), распространение), преобразование и удаление.</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Под НСУД понимается совокупность определенных методологических, правовых, организационно-управленческих и информационно-технологических элементов, направленная на достижение цели повышения эффективности использования госданных. При этом формирование системы предусмотрено в целях повышения эффективности использования госданных не только для реализации предусмотренных законодательством полномочий госорганов и организаций с госучастием, но и для обеспечения доступа юридических и физических лиц к госданным.</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Согласно проектируемым нормам доступ ко всем обрабатываемым госданным планируется сделать свободным и бесплатным. Он будет организован в режиме реального времени, в т. ч. посредством размещения в Интернете. Исключение составит только информация, относящаяся к охраняемой законом тайне или ограниченная в доступе в соответствии с законодательством. Однако и здесь возможны варианты – если при обработке госданных, относящихся к охраняемой законом тайне или к иной информации, доступ к которой ограничен, такие данные могут быть преобразованы в обезличенную информацию, то она может быть предоставлена неограниченному кругу лиц.</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При этом юрлицам, выполняющим функции операторов государственных (муниципальных) информационных систем, участвующих в обработке госданных, будет запрещено использовать их в коммерческих целях и ограничивать доступ к ним. А лица, которым предоставлен доступ к госданным посредством Единой информационной платформы, смогут использовать эти данные с учетом ряда ограничений. Что касается граждан и организаций, то им предоставляется право на безвозмездный доступ к госданным о себе, имуществе (имущественных правах), </w:t>
      </w:r>
      <w:r>
        <w:rPr>
          <w:rFonts w:ascii="Times New Roman" w:hAnsi="Times New Roman" w:cs="Times New Roman"/>
          <w:sz w:val="26"/>
          <w:szCs w:val="26"/>
        </w:rPr>
        <w:lastRenderedPageBreak/>
        <w:t>принадлежащем им на праве собственности и другом вещном праве, а также право на получение информации о фактах предоставления доступа к таким данным иным лицам или передачи какому-либо лицу, за исключением ряда случаев.</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В документе детально прописаны:</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порядок организации обработки госданных (для этого планируется определить единые требования к управлению госданными), включая порядок устранения ошибок в госданных;</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полномочия заинтересованных органов в области формирования и функционирования НСУД;</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функции инфраструктуры управления госданными;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правила информационного взаимодействия;</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порядок участия органов, подведомственных организаций, Банка России и организаций в формировании и функционировании НСУД;</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особенности предоставления отчетности органами, подведомственными организациями, Банком России и организациями.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В случае одобрения законопроекта предусмотренные им нормы вступят в силу через год после официального опубликования, за исключением отдельных положений, для которых установлены иные сроки начала действия. В рамках переходного периода будут приняты необходимые подзаконные акты.</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Источник: Гарант </w:t>
      </w:r>
      <w:hyperlink r:id="rId24" w:history="1">
        <w:r>
          <w:rPr>
            <w:rStyle w:val="a3"/>
            <w:rFonts w:ascii="Times New Roman" w:hAnsi="Times New Roman" w:cs="Times New Roman"/>
            <w:sz w:val="26"/>
            <w:szCs w:val="26"/>
            <w:lang w:val="en-US"/>
          </w:rPr>
          <w:t>https</w:t>
        </w:r>
        <w:r>
          <w:rPr>
            <w:rStyle w:val="a3"/>
            <w:rFonts w:ascii="Times New Roman" w:hAnsi="Times New Roman" w:cs="Times New Roman"/>
            <w:sz w:val="26"/>
            <w:szCs w:val="26"/>
          </w:rPr>
          <w:t>://</w:t>
        </w:r>
        <w:r>
          <w:rPr>
            <w:rStyle w:val="a3"/>
            <w:rFonts w:ascii="Times New Roman" w:hAnsi="Times New Roman" w:cs="Times New Roman"/>
            <w:sz w:val="26"/>
            <w:szCs w:val="26"/>
            <w:lang w:val="en-US"/>
          </w:rPr>
          <w:t>www</w:t>
        </w:r>
        <w:r>
          <w:rPr>
            <w:rStyle w:val="a3"/>
            <w:rFonts w:ascii="Times New Roman" w:hAnsi="Times New Roman" w:cs="Times New Roman"/>
            <w:sz w:val="26"/>
            <w:szCs w:val="26"/>
          </w:rPr>
          <w:t>.</w:t>
        </w:r>
        <w:r>
          <w:rPr>
            <w:rStyle w:val="a3"/>
            <w:rFonts w:ascii="Times New Roman" w:hAnsi="Times New Roman" w:cs="Times New Roman"/>
            <w:sz w:val="26"/>
            <w:szCs w:val="26"/>
            <w:lang w:val="en-US"/>
          </w:rPr>
          <w:t>garant</w:t>
        </w:r>
        <w:r>
          <w:rPr>
            <w:rStyle w:val="a3"/>
            <w:rFonts w:ascii="Times New Roman" w:hAnsi="Times New Roman" w:cs="Times New Roman"/>
            <w:sz w:val="26"/>
            <w:szCs w:val="26"/>
          </w:rPr>
          <w:t>.</w:t>
        </w:r>
        <w:r>
          <w:rPr>
            <w:rStyle w:val="a3"/>
            <w:rFonts w:ascii="Times New Roman" w:hAnsi="Times New Roman" w:cs="Times New Roman"/>
            <w:sz w:val="26"/>
            <w:szCs w:val="26"/>
            <w:lang w:val="en-US"/>
          </w:rPr>
          <w:t>ru</w:t>
        </w:r>
        <w:r>
          <w:rPr>
            <w:rStyle w:val="a3"/>
            <w:rFonts w:ascii="Times New Roman" w:hAnsi="Times New Roman" w:cs="Times New Roman"/>
            <w:sz w:val="26"/>
            <w:szCs w:val="26"/>
          </w:rPr>
          <w:t>/</w:t>
        </w:r>
        <w:r>
          <w:rPr>
            <w:rStyle w:val="a3"/>
            <w:rFonts w:ascii="Times New Roman" w:hAnsi="Times New Roman" w:cs="Times New Roman"/>
            <w:sz w:val="26"/>
            <w:szCs w:val="26"/>
            <w:lang w:val="en-US"/>
          </w:rPr>
          <w:t>news</w:t>
        </w:r>
        <w:r>
          <w:rPr>
            <w:rStyle w:val="a3"/>
            <w:rFonts w:ascii="Times New Roman" w:hAnsi="Times New Roman" w:cs="Times New Roman"/>
            <w:sz w:val="26"/>
            <w:szCs w:val="26"/>
          </w:rPr>
          <w:t>/1286292/</w:t>
        </w:r>
      </w:hyperlink>
    </w:p>
    <w:p w:rsidR="009B7044" w:rsidRDefault="009B7044" w:rsidP="009B7044">
      <w:pPr>
        <w:jc w:val="both"/>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С 6 августа за непропуск машины скорой помощи можно лишиться права управления автомобилем на срок до года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6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Вступили в силу соответствующие поправки, внесенные в КоАП Федеральным законом от 26 июля 2019 г. № 229-ФЗ. Ими увеличен не только размер штрафа за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но и срок лишения права управления транспортными средствами за такое нарушение.</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Теперь за непропуск машины скорой помощи, равно как и автомобилей других экстренных служб, грозит штраф в размере 3-5 тыс. руб. или лишение права управления транспортными средствами от трех месяцев до одного года. Ранее штраф составлял 500 руб., а срок лишения права управления транспортными средствами – от одного до трех месяцев.</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Источник: Гарант </w:t>
      </w:r>
      <w:hyperlink r:id="rId25" w:history="1">
        <w:r>
          <w:rPr>
            <w:rStyle w:val="a3"/>
            <w:rFonts w:ascii="Times New Roman" w:hAnsi="Times New Roman" w:cs="Times New Roman"/>
            <w:sz w:val="26"/>
            <w:szCs w:val="26"/>
          </w:rPr>
          <w:t>https://www.garant.ru/news/1286456/</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Определен порядок организации и осуществления госнадзора за деятельностью туроператоров в сфере выездного туризма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6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Порядок утвержден постановлением Правительства РФ от 1 августа 2019 г. № 998. Документ предусматривает в качестве предмета госнадзора соблюдение туроператорами и объединением туроператоров в сфере выездного туризма обязательных требований, установленных законодательством в сфере туристской деятельности.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Согласно постановлению госнадзор будет осуществлять Минэкономразвития России посредством организации и проведения внеплановых проверок, </w:t>
      </w:r>
      <w:r>
        <w:rPr>
          <w:rFonts w:ascii="Times New Roman" w:hAnsi="Times New Roman" w:cs="Times New Roman"/>
          <w:sz w:val="26"/>
          <w:szCs w:val="26"/>
        </w:rPr>
        <w:lastRenderedPageBreak/>
        <w:t>мероприятий по профилактике нарушений обязательных требований, мероприятий по контролю без взаимодействия с юрлицами, а также принятия мер по пресечению или устранению последствий выявленных нарушений. При этом проведение плановых проверок не предусмотрено.</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Постановлением Правительства РФ от 24 июля 2019 г. № 955 установлены требования к автоматизированным информационным системам оформления воздушных перевозок. Речь идет о системах, в которые войдут в т. ч. справочные информационные системы, инвенторные системы бронирования, системы регистрации пассажиров и багажа, автоматизированные распределительные (дистрибутивные) системы, а также системы взаиморасчетов. Автоматизированные информационные системы должны обеспечивать: хранение и отображение информации о расписании рейсов, наличии мест, тарифах и сборах на рейсах перевозчиков; конфиденциальность персональных данных пассажиров; бронирование и продажу (оформление) внутренних воздушных перевозок и дополнительных услуг для пассажиров с последующим хранением записей о пассажирах; регистрацию пассажиров и багажа при выполнении внутренних воздушных перевозок и т. п. Постановление начнет действовать с 31 октября 2021 года.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Источник: Гарант </w:t>
      </w:r>
      <w:hyperlink r:id="rId26" w:history="1">
        <w:r>
          <w:rPr>
            <w:rStyle w:val="a3"/>
            <w:rFonts w:ascii="Times New Roman" w:hAnsi="Times New Roman" w:cs="Times New Roman"/>
            <w:sz w:val="26"/>
            <w:szCs w:val="26"/>
          </w:rPr>
          <w:t>https://www.garant.ru/news/1286457/</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В 2020 году изменятся условия назначения ежемесячных выплат малообеспеченным семьям в связи с рождением первого или второго ребенка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6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С 2020 года для получения выплаты размер среднедушевого дохода семьи не должен превышать 2-кратную величину пржиточного минимума (в настоящее время – 1,5), а сама выплата будет осуществляться до достижения ребенком 3-х лет (в настоящее время – до полутора) (Федеральный закон от 2 августа 2019 № 305-ФЗ). Заявление на получение выплаты необходимо будет подавать ежегодно.</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Напомним, что за выплатой на первого ребенка необходимо обращаться в органы соцзащиты, за выплатой на второго – в ПФР, выплаты на второго ребенка производятся за счет средств материнского капитала. Если маткапитал "закончится" до достижения ребенком трех лет, выплаты прекратятся.</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Источник: Гарант</w:t>
      </w:r>
      <w:r>
        <w:t xml:space="preserve"> </w:t>
      </w:r>
      <w:hyperlink r:id="rId27" w:history="1">
        <w:r>
          <w:rPr>
            <w:rStyle w:val="a3"/>
            <w:rFonts w:ascii="Times New Roman" w:hAnsi="Times New Roman" w:cs="Times New Roman"/>
            <w:sz w:val="26"/>
            <w:szCs w:val="26"/>
          </w:rPr>
          <w:t>https://www.garant.ru/news/1286324/</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Правительство РФ подготовило поправки в закон о спецоценке условий труда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6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Соответствующий законопроект внесен в Госдуму. Он направлен на повышение качества проведения специальной оценки условий труда в целях обеспечения соблюдения гарантий и прав работников.</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Предлагается ввести дополнительный механизм контроля за передачей организацией, проводящей спецоценку условий труда, отчетов о результатах проведения такой оценки в Федеральную государственную информационную систему учета результатов проведения спецоценки условий труда (ФГИС СОУТ). Речь идет о присвоении таким отчетам идентификационного номера во ФГИС СОУТ, а также о привязке срока действия результатов проведения спецоценки условий труда ко дню их передачи во ФГИС СОУТ. При этом работодателям предоставляется право требовать от организации, проводящей спецоценку, подтверждения передачи отчета во ФГИС СОУТ.</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lastRenderedPageBreak/>
        <w:t>Необходимость таких мер разработчики инициативы обосновывают тем, что с датой утверждения отчета связано вступление в силу результатов проведения спецоценки условий труда. А на практике имеют место случаи непередачи или передачи отчетов в неполном объеме. "Это создает риски возможного умышленного сокрытия отчетов, что фактически снижает достоверность и репрезентативность накапливаемых во ФГИС СОУТ данных, а также не позволяет своевременно выявить с использованием автоматических сервисов ФГИС СОУТ возможные нарушения и принять меры по восстановлению нарушенных прав работников", – отмечается в пояснительной записке к документу.</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Предусмотрены дополнительные обязанности для организаций, проводящих спецоценку условий труда. Они касаются передачи в уполномоченный орган информации: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о сокращении области аккредитации испытательной лаборатории (центра), являющейся структурным подразделением такой организации, с указанием вредных или опасных факторов производственной среды и трудового процесса, которые были исключены из области аккредитации;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об изменении состава экспертов организации, имеющих выданный в установленном порядке сертификат эксперта на право выполнения работ по спецоценке условий труда.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Выявленные на основании таких данных нарушения могут послужить основанием для временного приостановления деятельности организации – до момента представления документов, подтверждающих их устранение. Требования к представлению информации о сокращении области аккредитации будут действовать до 31 декабря 2021 года – этого периода хватит, чтобы наладить электронное взаимодействие между ФГИС СОУТ и информационной системой Росаккредитации для передачи необходимой информации через систему электронного межведомственного взаимодействия.</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Также в числе планируемых изменений – возможность осуществления по заявлениям органов исполнительной власти экспертизы качества спецоценки условий труда, результаты которой будут обязательны для всех участников спецоценки.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Источник: Гарант</w:t>
      </w:r>
      <w:r>
        <w:t xml:space="preserve"> </w:t>
      </w:r>
      <w:hyperlink r:id="rId28" w:history="1">
        <w:r>
          <w:rPr>
            <w:rStyle w:val="a3"/>
            <w:rFonts w:ascii="Times New Roman" w:hAnsi="Times New Roman" w:cs="Times New Roman"/>
            <w:sz w:val="26"/>
            <w:szCs w:val="26"/>
          </w:rPr>
          <w:t>https://www.garant.ru/news/1286331/</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Определен предельный размер цены контракта на строительство капитального объекта, при которой возможно изменение его существенных условий</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6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Соответствующие изменения внесены в постановление Правительства РФ от 19 декабря 2013 г. № 1186 (далее – Постановление № 1186).</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Так, согласно новому п. 1.1 Постановления № 1186 предельный размер цены заключенного на срок не менее одного года контракта, предметом которого является выполнение работ по строительству объекта капитального строительства, проведению работ по сохранению объектов культурного наследия, при которой могут быть изменены его существенные условия, составляет 100 млн руб. Изменение условий контракта в указанном случае в ходе его исполнении возможно при возникновении независящих от сторон обстоятельств, влекущих невозможность его исполнения, в том числе необходимость внесения изменений в проектную документацию в соответствии с п. 8 ч. 1 ст. 95 Федерального закона от 5 апреля 2013 </w:t>
      </w:r>
      <w:r>
        <w:rPr>
          <w:rFonts w:ascii="Times New Roman" w:hAnsi="Times New Roman" w:cs="Times New Roman"/>
          <w:sz w:val="26"/>
          <w:szCs w:val="26"/>
        </w:rPr>
        <w:lastRenderedPageBreak/>
        <w:t>г. № 44-ФЗ "О контрактной системе в сфере закупок товаров, работ, услуг для обеспечения государственных и муниципальных нужд".</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Соответствующие изменения вступили в силу 2 августа 2019 года (постановление Правительства РФ от 20 июля 2019 г. № 948).</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Источник: Гарант </w:t>
      </w:r>
      <w:hyperlink r:id="rId29" w:history="1">
        <w:r>
          <w:rPr>
            <w:rStyle w:val="a3"/>
            <w:rFonts w:ascii="Times New Roman" w:hAnsi="Times New Roman" w:cs="Times New Roman"/>
            <w:sz w:val="26"/>
            <w:szCs w:val="26"/>
          </w:rPr>
          <w:t>https://www.garant.ru/news/1286339/</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Скорректированы приложения № 1 и № 2 к постановлению Правительства РФ от 4 февраля 2015 года № 99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6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В Дополнительных требованиях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(далее – Приложение № 1) в новой редакции изложена позиция, в соответствии с которой дополнительные требования к участникам устанавливаются в случае проведения работ по сохранению объектов культурного наследия народов России, при которых затрагиваются конструктивные и другие характеристики надежности и безопасности объекта культурного наследия.</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Приложение № 1 дополнено новыми п. 1.1-1.3, п. 6-7, согласно которым определяются дополнительные требования к участникам в случае закупки работ (услуг):</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по сохранению объектов культурного наследия (памятников истории и культуры) народов России, при которых не затрагиваются конструктивные и другие характеристики надежности и безопасности объекта;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по реставрации музейных предметов и музейных коллекций, включенных в состав Музейного фонда РФ, документов Архивного фонда РФ, особо ценных и редких документов, входящих в состав библиотечных фондов;</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по государственному оборонному заказу в части заказов на создание, модернизацию, поставки, ремонт, сервисное обслуживание и утилизацию вооружения, военной и специальной техники;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по организации отдыха детей и их оздоровления.</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Из Приложения № 2 "Случаи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дополнительные требования к участникам закупки путем проведения конкурсов с ограниченным участием" исключена позиция 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Постановление Правительства РФ от 18 июля 2019 г. № 932 вступило в силу 30 июля 2019 года, постановление Правительства РФ от 25 июля 2019 г. № 962 вступило в силу 6 августа 2019 года.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Источник: Гарант</w:t>
      </w:r>
      <w:r>
        <w:t xml:space="preserve"> </w:t>
      </w:r>
      <w:hyperlink r:id="rId30" w:history="1">
        <w:r>
          <w:rPr>
            <w:rStyle w:val="a3"/>
            <w:rFonts w:ascii="Times New Roman" w:hAnsi="Times New Roman" w:cs="Times New Roman"/>
            <w:sz w:val="26"/>
            <w:szCs w:val="26"/>
          </w:rPr>
          <w:t>https://www.garant.ru/news/1286377/</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color w:val="7030A0"/>
          <w:sz w:val="26"/>
          <w:szCs w:val="26"/>
        </w:rPr>
      </w:pPr>
      <w:r>
        <w:rPr>
          <w:rFonts w:ascii="Times New Roman" w:hAnsi="Times New Roman" w:cs="Times New Roman"/>
          <w:color w:val="7030A0"/>
          <w:sz w:val="26"/>
          <w:szCs w:val="26"/>
        </w:rPr>
        <w:lastRenderedPageBreak/>
        <w:t>Сведения о наличии заявителя в базах данных Банка России о деловой репутации можно получить через портал госуслуг</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6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Банк России организовал предоставление новых услуг через Единый портал государственных и муниципальных услуг (функций). Об этом сегодня сообщается на официальном сайте регулятора.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Теперь на соответствующей странице портала госуслуг (</w:t>
      </w:r>
      <w:hyperlink r:id="rId31" w:history="1">
        <w:r>
          <w:rPr>
            <w:rStyle w:val="a3"/>
            <w:rFonts w:ascii="Times New Roman" w:hAnsi="Times New Roman" w:cs="Times New Roman"/>
            <w:sz w:val="26"/>
            <w:szCs w:val="26"/>
          </w:rPr>
          <w:t>https://www.gosuslugi.ru/356477</w:t>
        </w:r>
      </w:hyperlink>
      <w:r>
        <w:rPr>
          <w:rFonts w:ascii="Times New Roman" w:hAnsi="Times New Roman" w:cs="Times New Roman"/>
          <w:sz w:val="26"/>
          <w:szCs w:val="26"/>
        </w:rPr>
        <w:t>) можно получить информацию о наличии или отсутствии сведений о заявителе в базах данных Банка России, ведение которых предусмотрено ст. 75 и ст. 76.7 Федерального закона от 10 июля 2002 г. № 86-ФЗ "О Центральном банке Российской Федерации (Банке России)". Речь идет о базах данных о:</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деловой репутации (о лицах, занимающих должности единоличного исполнительного органа, его заместителей, членов коллегиального исполнительного органа, главного бухгалтера кредитной организации и об иных лицах, деятельность которых способствовала нанесению ущерба финансовому положению кредитной организации или нарушениям законодательства и нормативных актов Банка России);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некредитных финансовых организациях, об их должностных лицах и иных лицах, в отношении которых регулятор получает персональные данные.</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Если ранее для получения сведений из этих баз данных необходимо было направить в Банк России письменный запрос, приложив к нему копии необходимых документов (при этом ответ предоставлялся только на бумажном носителе), то теперь достаточно подать электронный запрос через портал госуслуг – ответ регулятора будет сформирован автоматически.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Также участники рынка получили возможность проверить через портал госуслуг (</w:t>
      </w:r>
      <w:hyperlink r:id="rId32" w:history="1">
        <w:r>
          <w:rPr>
            <w:rStyle w:val="a3"/>
            <w:rFonts w:ascii="Times New Roman" w:hAnsi="Times New Roman" w:cs="Times New Roman"/>
            <w:sz w:val="26"/>
            <w:szCs w:val="26"/>
          </w:rPr>
          <w:t>https://www.gosuslugi.ru/330630</w:t>
        </w:r>
      </w:hyperlink>
      <w:r>
        <w:rPr>
          <w:rFonts w:ascii="Times New Roman" w:hAnsi="Times New Roman" w:cs="Times New Roman"/>
          <w:sz w:val="26"/>
          <w:szCs w:val="26"/>
        </w:rPr>
        <w:t>) наличие у интересующего лица (например, у контрагента) права осуществлять деятельность на финансовом рынке. Результатом такой услуги является получение по почте, по e-mail или через портал выписки из реестров участников финансового рынка (например, из реестра аттестованных лиц, реестров лицензий, реестра ответственных актуариев, паевых инвестиционных фондов, профессиональных участников рынка ценных бумаг, саморегулируемых организаций в сфере финансового рынка, а также сведений о кредитном или сельскохозяйственном кредитном потребительском кооперативе).</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Указанные электронные госуслуги доступны для физлиц и юрлиц (а запросы сведений из баз данных – также для ИП, иностранных граждан, лиц без гражданства и иностранных предпринимателей), имеющих учетную запись на портале госуслуг. Они предоставляются бесплатно и направлены на снижение административных барьеров и совершенствование сервисов электронного взаимодействия Банка России с заинтересованными лицами.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Источник: Гарант</w:t>
      </w:r>
      <w:r>
        <w:t xml:space="preserve"> </w:t>
      </w:r>
      <w:hyperlink r:id="rId33" w:history="1">
        <w:r>
          <w:rPr>
            <w:rStyle w:val="a3"/>
            <w:rFonts w:ascii="Times New Roman" w:hAnsi="Times New Roman" w:cs="Times New Roman"/>
            <w:sz w:val="26"/>
            <w:szCs w:val="26"/>
          </w:rPr>
          <w:t>https://www.garant.ru/news/1286371/</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ФСС России утвердила значения основных показателей по видам экономической деятельности на 2020 год</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6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Значения основных показателей по виду экономической деятельности рассчитываются в текущем календарном году по итогам деятельности страхователей </w:t>
      </w:r>
      <w:r>
        <w:rPr>
          <w:rFonts w:ascii="Times New Roman" w:hAnsi="Times New Roman" w:cs="Times New Roman"/>
          <w:sz w:val="26"/>
          <w:szCs w:val="26"/>
        </w:rPr>
        <w:lastRenderedPageBreak/>
        <w:t>за три предшествующих года и применяются для расчета скидки или надбавки на очередной год, следующий за текущим.</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Данные представлены в виде таблицы, в которой указывается код деятельности по ОКВЭД 2, наименование вида деятельности и три основных показателя – отношение суммы обеспечения по страхованию в связи со всеми произошедшими страховыми случаями к начисленной сумме страховых взносов, количество страховых случаев на тысячу работающих и количество дней временной нетрудоспособности на один несчастный случай, признанный страховым, исключая случаи со смертельным исходом (постановление ФСС России от 23 мая 2019 г. № 64 "Об утверждении значений основных показателей по видам экономической деятельности на 2020 год").</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Применяются такие показатели для расчета скидок и надбавок к страховым тарифам на обязательное социальное страхование от несчастных случаев на производстве и профзаболеваний в соответствии с установленными правилами (утв. постановлением Правительства РФ от 30 мая 2012 г. № 524).</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Если показатели организации меньше всех трех значений, то она может воспользоваться скидкой, а если больше – то обязана применить надбавку. А если в предшествующем финансовом году был страховой случай со смертельным исходом, произошедшим не по вине третьих лиц, то страхователю на очередной финансовый год скидка не полагается. В случае же группового несчастного случая (два человека и более) со смертельным исходом, произошедшего не по вине третьих лиц, страхователю устанавливается надбавка (п. 4 приказа Минтруда России от 1 августа 2012 г. № 39н).</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Источник: Гарант</w:t>
      </w:r>
      <w:r>
        <w:t xml:space="preserve"> </w:t>
      </w:r>
      <w:hyperlink r:id="rId34" w:history="1">
        <w:r>
          <w:rPr>
            <w:rStyle w:val="a3"/>
            <w:rFonts w:ascii="Times New Roman" w:hAnsi="Times New Roman" w:cs="Times New Roman"/>
            <w:sz w:val="26"/>
            <w:szCs w:val="26"/>
          </w:rPr>
          <w:t>https://www.garant.ru/news/1286273/</w:t>
        </w:r>
      </w:hyperlink>
    </w:p>
    <w:p w:rsidR="009B7044" w:rsidRDefault="009B7044" w:rsidP="009B7044">
      <w:pPr>
        <w:jc w:val="both"/>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Налоговая служба получила право проводить контрольные закупки в лотереях и казино</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6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Внесены изменения в законодательство о проведении лотерей и азартных игр, которые предусматривают право ФНС России участвовать в сделках с организаторами для выявления нелегальных букмекеров и организаторов лотерей (Федеральный закон от 26 июля 2019 г. № 239-ФЗ). Изменения вступают в силу с 6 августа 2019 года.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Установлено, что проверяющие смогут проводить контрольные закупки при проверке лотерей и организации азартных игр.</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Помимо этого, налоговые инспекторы смогут заключать сделки с российскими и иностранными организациями и предпринимателями, осуществляющими:</w:t>
      </w:r>
    </w:p>
    <w:p w:rsidR="009B7044" w:rsidRDefault="009B7044" w:rsidP="009B7044">
      <w:pPr>
        <w:numPr>
          <w:ilvl w:val="0"/>
          <w:numId w:val="1"/>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организацию или проведение лотереи без специального решения Правительства РФ, либо без заключения контракта с организатором лотереи на ее проведение, либо после истечения установленного срока проведения лотереи;</w:t>
      </w:r>
    </w:p>
    <w:p w:rsidR="009B7044" w:rsidRDefault="009B7044" w:rsidP="009B7044">
      <w:pPr>
        <w:numPr>
          <w:ilvl w:val="0"/>
          <w:numId w:val="1"/>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распространение, реализацию и выдачу лотерейных билетов, лотерейных квитанций или электронных лотерейных билетов, а также прием лотерейных ставок без заключения договора в соответствии с законодательством о лотереях;</w:t>
      </w:r>
    </w:p>
    <w:p w:rsidR="009B7044" w:rsidRDefault="009B7044" w:rsidP="009B7044">
      <w:pPr>
        <w:numPr>
          <w:ilvl w:val="0"/>
          <w:numId w:val="1"/>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организацию или проведение азартных игр в букмекерских конторах и тотализаторах без соответствующей лицензии или без разрешения на осуществление такой деятельности в игорной зоне.</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lastRenderedPageBreak/>
        <w:t>Также сотрудники налоговых органов теперь имеют право принимать участие в лотереях и азартных играх, проводимых в Интернете. По мнению законодателя, это увеличит эффективность выявления нелегальных организаторов. Так, при выявлении нарушения установленных норм, по результатам сделок будет приниматься решение о включении таких ресурсов в "Единый реестр доменных имен, содержащих информацию, распространение которой в Российской Федерации запрещено" (eais.rkn.gov.ru), а также в перечень лиц, проводящих лотереи и азартные игры с нарушением законодательства.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Источник: Гарант </w:t>
      </w:r>
      <w:hyperlink r:id="rId35" w:history="1">
        <w:r>
          <w:rPr>
            <w:rStyle w:val="a3"/>
            <w:rFonts w:ascii="Times New Roman" w:hAnsi="Times New Roman" w:cs="Times New Roman"/>
            <w:sz w:val="26"/>
            <w:szCs w:val="26"/>
            <w:lang w:val="en-US"/>
          </w:rPr>
          <w:t>https</w:t>
        </w:r>
        <w:r>
          <w:rPr>
            <w:rStyle w:val="a3"/>
            <w:rFonts w:ascii="Times New Roman" w:hAnsi="Times New Roman" w:cs="Times New Roman"/>
            <w:sz w:val="26"/>
            <w:szCs w:val="26"/>
          </w:rPr>
          <w:t>://</w:t>
        </w:r>
        <w:r>
          <w:rPr>
            <w:rStyle w:val="a3"/>
            <w:rFonts w:ascii="Times New Roman" w:hAnsi="Times New Roman" w:cs="Times New Roman"/>
            <w:sz w:val="26"/>
            <w:szCs w:val="26"/>
            <w:lang w:val="en-US"/>
          </w:rPr>
          <w:t>www</w:t>
        </w:r>
        <w:r>
          <w:rPr>
            <w:rStyle w:val="a3"/>
            <w:rFonts w:ascii="Times New Roman" w:hAnsi="Times New Roman" w:cs="Times New Roman"/>
            <w:sz w:val="26"/>
            <w:szCs w:val="26"/>
          </w:rPr>
          <w:t>.</w:t>
        </w:r>
        <w:r>
          <w:rPr>
            <w:rStyle w:val="a3"/>
            <w:rFonts w:ascii="Times New Roman" w:hAnsi="Times New Roman" w:cs="Times New Roman"/>
            <w:sz w:val="26"/>
            <w:szCs w:val="26"/>
            <w:lang w:val="en-US"/>
          </w:rPr>
          <w:t>garant</w:t>
        </w:r>
        <w:r>
          <w:rPr>
            <w:rStyle w:val="a3"/>
            <w:rFonts w:ascii="Times New Roman" w:hAnsi="Times New Roman" w:cs="Times New Roman"/>
            <w:sz w:val="26"/>
            <w:szCs w:val="26"/>
          </w:rPr>
          <w:t>.</w:t>
        </w:r>
        <w:r>
          <w:rPr>
            <w:rStyle w:val="a3"/>
            <w:rFonts w:ascii="Times New Roman" w:hAnsi="Times New Roman" w:cs="Times New Roman"/>
            <w:sz w:val="26"/>
            <w:szCs w:val="26"/>
            <w:lang w:val="en-US"/>
          </w:rPr>
          <w:t>ru</w:t>
        </w:r>
        <w:r>
          <w:rPr>
            <w:rStyle w:val="a3"/>
            <w:rFonts w:ascii="Times New Roman" w:hAnsi="Times New Roman" w:cs="Times New Roman"/>
            <w:sz w:val="26"/>
            <w:szCs w:val="26"/>
          </w:rPr>
          <w:t>/</w:t>
        </w:r>
        <w:r>
          <w:rPr>
            <w:rStyle w:val="a3"/>
            <w:rFonts w:ascii="Times New Roman" w:hAnsi="Times New Roman" w:cs="Times New Roman"/>
            <w:sz w:val="26"/>
            <w:szCs w:val="26"/>
            <w:lang w:val="en-US"/>
          </w:rPr>
          <w:t>news</w:t>
        </w:r>
        <w:r>
          <w:rPr>
            <w:rStyle w:val="a3"/>
            <w:rFonts w:ascii="Times New Roman" w:hAnsi="Times New Roman" w:cs="Times New Roman"/>
            <w:sz w:val="26"/>
            <w:szCs w:val="26"/>
          </w:rPr>
          <w:t>/1286345/</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Для участников специальных инвестконтрактов устанавливается особый порядок налогообложения</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5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В Налоговый кодекс вводятся новые положения, определяющие, какие лица относятся к участникам инвестиционных контрактов, в каких случаях они приобретают и утрачивают свой статус, а также порядок получения налоговой льготы по налогу на прибыль для участников и особенности ведения учета их доходов и расходов (Федеральный закон от 2 августа 2019 г. № 269-ФЗ)1. Общие положения закона начинают действовать с 3 сентября 2019 года, однако нормы, касающиеся налога на прибыль, следует применять с 1 января 2020 года.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Законом устанавливается, что налогоплательщик – участник инвестконтракта не может быть участником консолидированной группы налогоплательщиков, резидентом особой экономической зоны, свободной экономической зоны или территории опережающего социально-экономического развития, а также участником регионального инвестпроекта. Кроме того, такой налогоплательщик не может применять специальные налоговые режимы.</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Налогоплательщик приобретает статус участника со дня включения в специализированный реестр, а утрачивает его в случае прекращения действия контракта или его расторжения.</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Участники применяют нулевую ставку по налогу на прибыль, зачисляемому в федеральный бюджет. Также предусматривается возможность установления пониженной ставки по налогу, перечисляемому в бюджеты субъектов РФ.</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Применяются вышеуказанные ставки ко всей налоговой базе, если доходы от реализации товаров, произведенных в рамках проекта, составляют не менее 90% всех доходов. Если же организация ведет раздельный учет доходов (расходов), полученных (понесенных) от деятельности в рамках проекта, и доходов (расходов), полученных (понесенных) при осуществлении иной деятельности, то льготная ставка применяется ко всей налоговой базе от деятельности, осуществляемой в рамках проекта. Законодательно указывается, что выбранный способ определения налоговой базы должен быть закреплен в учетной политике и не подлежит изменению в течение срока, на который заключен инвестконтракт.</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Также устанавливается, что применяться пониженная ставка будет с того налогового периода, в котором была получена первая прибыль от реализации товаров, произведенных в рамках проекта.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Источник: Гарант </w:t>
      </w:r>
      <w:hyperlink r:id="rId36" w:history="1">
        <w:r>
          <w:rPr>
            <w:rStyle w:val="a3"/>
            <w:rFonts w:ascii="Times New Roman" w:hAnsi="Times New Roman" w:cs="Times New Roman"/>
            <w:sz w:val="26"/>
            <w:szCs w:val="26"/>
          </w:rPr>
          <w:t>https://www.garant.ru/news/1285919/</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Увеличена госпошлина за выдачу вида на жительство иностранцу</w:t>
      </w:r>
    </w:p>
    <w:p w:rsidR="009B7044" w:rsidRDefault="009B7044" w:rsidP="009B7044">
      <w:pPr>
        <w:jc w:val="both"/>
        <w:rPr>
          <w:rFonts w:ascii="Times New Roman" w:hAnsi="Times New Roman" w:cs="Times New Roman"/>
          <w:color w:val="7030A0"/>
          <w:sz w:val="26"/>
          <w:szCs w:val="26"/>
        </w:rPr>
      </w:pPr>
      <w:r>
        <w:rPr>
          <w:rFonts w:ascii="Times New Roman" w:hAnsi="Times New Roman" w:cs="Times New Roman"/>
          <w:color w:val="000000"/>
          <w:sz w:val="26"/>
          <w:szCs w:val="26"/>
        </w:rPr>
        <w:t>5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lastRenderedPageBreak/>
        <w:t>Внесены поправка в Налоговый кодекс в части изменения размера госпошлины за выдачу вида на жительство иностранному гражданину или лицу без гражданства (Федеральный закон от 2 августа 2019 г. № 258-ФЗ "О внесении изменения в статью 333-28 части второй Налогового кодекса Российской Федерации"). Изменения вступят в силу по истечении 90 дней со дня опубликования закона, т. е. с 1 ноября 2019 года.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Госпошлина увеличивается с 3,5 тыс. руб., установленных в настоящее время, до 5 тыс. руб. Аналогичную сумму придется заплатить и в случае замены вида на жительство.</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Такие изменения связаны с введением бессрочного вида на жительство для большинства категорий иностранных граждан (Федеральный закон от 2 августа 2019 г. № 257-ФЗ "О внесении изменений в Федеральный закон "О правовом положении иностранных граждан в Российской Федерации"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 Исключение составляют высококвалифицированные работники и члены их семей – для них срок действия документа будет зависеть от срока действия разрешения на работу.</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Источник: Гарант </w:t>
      </w:r>
      <w:hyperlink r:id="rId37" w:history="1">
        <w:r>
          <w:rPr>
            <w:rStyle w:val="a3"/>
            <w:rFonts w:ascii="Times New Roman" w:hAnsi="Times New Roman" w:cs="Times New Roman"/>
            <w:sz w:val="26"/>
            <w:szCs w:val="26"/>
          </w:rPr>
          <w:t>https://www.garant.ru/news/1286091/</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С 1 октября снижается ставка НДС для фруктов и ягод</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5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Подписан Федеральный закон, предусматривающий изменения в Налоговый кодекс в части снижения до 10% ставки НДС в отношении фруктов и ягод, включая виноград (Федеральный закон от 2 августа 2019 г. № 268-ФЗ "О внесении изменений в статью 164 части второй Налогового кодекса Российской Федерации").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Этим же законом отменяется льгота для пальмового масла – оно исключается из списка продуктов питания, облагаемых по ставке 10%. С 1 октября в отношении этого товара будет применяться стандартная налоговая ставка – 20%. Доходы федерального бюджета, полученные от увеличения ставки налога, предлагается направлять на реализацию мероприятий по повышению продуктивности в молочном скотоводстве в рамках госпрограммы развития сельского хозяйства.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Источник: Гарант</w:t>
      </w:r>
      <w:r>
        <w:t xml:space="preserve"> </w:t>
      </w:r>
      <w:hyperlink r:id="rId38" w:history="1">
        <w:r>
          <w:rPr>
            <w:rStyle w:val="a3"/>
            <w:rFonts w:ascii="Times New Roman" w:hAnsi="Times New Roman" w:cs="Times New Roman"/>
            <w:sz w:val="26"/>
            <w:szCs w:val="26"/>
          </w:rPr>
          <w:t>https://www.garant.ru/news/1286110/</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sz w:val="26"/>
          <w:szCs w:val="26"/>
        </w:rPr>
      </w:pPr>
      <w:hyperlink r:id="rId39" w:history="1">
        <w:r>
          <w:rPr>
            <w:rStyle w:val="a3"/>
            <w:rFonts w:ascii="Times New Roman" w:hAnsi="Times New Roman" w:cs="Times New Roman"/>
            <w:sz w:val="26"/>
            <w:szCs w:val="26"/>
          </w:rPr>
          <w:t>https://www.garant.ru/news/1286808/</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Отсутствие уведомления о переходе на УСН не всегда лишает налогоплательщика права на применение этого спецрежима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5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Организация применяла УСН с момента своего создания. После того, как единственным участником стало юрлицо, компания на определенное время утратила право на применение УСН. При этом на общий режим налогообложения организация не перешла, а продолжала отчитываться в рамках спецрежима, что не вызывало нареканий со стороны налоговой инспекции. Ел-линственным учредителем стало физлицо и организация вновь стала соответствовать критериям для применения УСН.</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По итогам выездной налоговой проверки было установлено, что после смены состава учредителей налогоплательщик не подавал уведомление о переходе на УСН, следовательно, он был не вправе применять этот спецрежим. В результате ему были </w:t>
      </w:r>
      <w:r>
        <w:rPr>
          <w:rFonts w:ascii="Times New Roman" w:hAnsi="Times New Roman" w:cs="Times New Roman"/>
          <w:sz w:val="26"/>
          <w:szCs w:val="26"/>
        </w:rPr>
        <w:lastRenderedPageBreak/>
        <w:t>доначислены налоги в рамках общего режима налогообложения. Не согласившись с решением инспекции, налогоплательщик обратился в суд.</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Суды трех инстанций поддержали позицию налогового органа (Определение Верховного Суда РФ от 2 июля 2019 г. № 310-ЭС19-1705). Судами было отмечено, что подача деклараций по УСН и принятие их налоговым органом не может рассматриваться как подтверждение права на применение УСН, поскольку налоговый орган не вправе отказать в принятии поданной декларации.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Судебная коллегия по экономическим спорам ВС РФ отменила решения нижестоящих судов. Экономколлегия указала, что применение УСН субъектами малого и среднего предпринимательства носит уведомительный, а не разрешительный характер: правовое значение уведомления состоит не в получении согласия налогового органа на применение спецрежима, а в выражении волеизъявления субъектов предпринимательства на добровольное применение УСН и в обеспечении надлежащего администрирования налога, полноты и своевременности его уплаты.</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При возникновении спора, связанного с соблюдением хозяйствующим субъектом процедуры начала применения данного спецрежима, во внимание должны приниматься не только действия налогоплательщика, но и поведение налогового органа, связанное с обеспечением реализации прав и законных интересов налогоплательщика, соразмерность и своевременность принимаемых налоговым органом мер.</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Когда хозяйствующий субъект выразил свое волеизъявление использовать УСН, фактически применяя этот специальный налоговый режим (сдавал налоговую отчетность, уплачивал авансовые и налоговые платежи), налоговый орган утрачивает право ссылаться на неполучение уведомления (получение уведомления с нарушением срока) и применять положения пп. 19 п. 3 ст. 346.12 НК РФ в качестве основания изменения статуса налогоплательщика, если ранее налоговым органом действия налогоплательщика, по сути, были одобрены.</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В данном случае налоговая инспекция, обладая сведениями о применении налогоплательщиком УСН с нарушением процедуры, длительное время не требовала представления отчетности по ОСНО и в течение всего охваченного налоговой проверкой периода не направляла сообщение о несоответствии требованиям применения УСН. Кроме того, налоговый орган осуществлял налоговое администрирование общества именно как плательщика налогов по УСН.</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В итоге ВС РФ указал, что при таких обстоятельствах сама по себе неподача обществом повторного уведомления о намерении продолжать применять УСН в данном случае не могла служить основанием для принятия инспекцией решения об отсутствии у налогоплательщика права на применение данного налогового режима.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Источник: Гарант </w:t>
      </w:r>
      <w:hyperlink r:id="rId40" w:history="1">
        <w:r>
          <w:rPr>
            <w:rStyle w:val="a3"/>
            <w:rFonts w:ascii="Times New Roman" w:hAnsi="Times New Roman" w:cs="Times New Roman"/>
            <w:sz w:val="26"/>
            <w:szCs w:val="26"/>
          </w:rPr>
          <w:t>https://www.garant.ru/news/1286118/</w:t>
        </w:r>
      </w:hyperlink>
    </w:p>
    <w:p w:rsidR="009B7044" w:rsidRDefault="009B7044" w:rsidP="009B7044">
      <w:pPr>
        <w:jc w:val="both"/>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Минимальный срок планирования закупок у субъектов МСП составит три года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5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Президент РФ Владимир Путин подписал соответствующий Федеральный закон от 2 августа 2019 г. № 263-ФЗ "О внесении изменения в статью 4 Федерального закона "О закупках товаров, работ, услуг отдельными видами юридических лиц".</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Документом установлена обязанность отдельных заказчиков, определяемых Правительством РФ, формировать план закупок товаров, работ и услуг для субъектов малого и среднего предпринимательства (МСП) на срок не менее чем три </w:t>
      </w:r>
      <w:r>
        <w:rPr>
          <w:rFonts w:ascii="Times New Roman" w:hAnsi="Times New Roman" w:cs="Times New Roman"/>
          <w:sz w:val="26"/>
          <w:szCs w:val="26"/>
        </w:rPr>
        <w:lastRenderedPageBreak/>
        <w:t>года. Предполагается, что такая мера будет способствовать информированию субъектов МСП о долгосрочных потребностях заказчиков в товарах, работах и услугах. Это, в свою очередь, позволит последним заблаговременно принимать решение об участии в закупках.</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Источник: Гарант</w:t>
      </w:r>
      <w:r>
        <w:t xml:space="preserve"> </w:t>
      </w:r>
      <w:hyperlink r:id="rId41" w:history="1">
        <w:r>
          <w:rPr>
            <w:rStyle w:val="a3"/>
            <w:rFonts w:ascii="Times New Roman" w:hAnsi="Times New Roman" w:cs="Times New Roman"/>
            <w:sz w:val="26"/>
            <w:szCs w:val="26"/>
          </w:rPr>
          <w:t>https://www.garant.ru/news/1285714/</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Введен запрет на заключение договоров микрозайма под залог жилья</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5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Президент РФ Владимир Путин подписал Федеральный закон от 2 августа 2019 г. № 271-ФЗ "О внесении изменений в отдельные законодательные акты Российской Федерации", который запрещает микрофинансовым организациям заключать договоры потребительского займа с физлицами под залог жилья или доли в нем. </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Документом уточняются требования к микрофинансовым организациям и их руководителям. Часть поправок касается минимального размера собственных средств (капитала) микрокредитных компаний, который будет постепенно увеличиваться с 1 млн руб. с 1 июля 2020 года до 5 млн руб. с 1 июля 2024 года. Эти ограничения не затронут микрофинансовые организации предпринимательского финансирования и организации, учредителем (акционером, участником) которых является РФ, субъект РФ или муниципальное образование. Также установлен прямой запрет на внесение в уставный капитал микрофинансовой компании заемных средств и находящегося в залоге имущества.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Законом расширяются и функции Банка России в отношении микрофинансовых организаций – в части установления максимального размера процентной ставки по займам, предоставляемым кредитными потребительскими кооперативами, сельскохозяйственными кредитными потребительскими кооперативами физлицам в целях, не связанных с осуществлением ими предпринимательской деятельности, и обязательства заемщиков по которым обеспечены ипотекой.</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Среди иных поправок, внесенных рассматриваемым законом:</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введение для всех видов микрофинансовых организаций дополнительных возможностей по идентификации клиентов;</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уточнение требований к деловой репутации и квалификации менеджмента микрокредитных компаний;</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необходимость опубликования в Интернете перечня уполномоченных единым институтом развития в жилищной сфере организаций, осуществляющих деятельность по предоставлению ипотечных займов;</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обязанность микрокредитной компании в письменной форме уведомить Банк России о назначении (избрании) на должность и об освобождении от должности лица, осуществляющего функции единоличного исполнительного органа микрокредитной компании (в течение трех рабочих дней со дня принятия соответствующего решения);</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обязанность микрокредитной компании, за исключением микрокредитной компании – НКО, раскрывать в Интернете информацию о структуре и составе своих акционеров (участников), включая лиц, под контролем либо значительным влиянием которых находится микрокредитная компания, и т. п.</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Закон вступит в силу с 1 октября 2019 года, за исключением ряда норм, для которых установлен иной срок начала действия. </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Источник: Гарант </w:t>
      </w:r>
      <w:hyperlink r:id="rId42" w:history="1">
        <w:r>
          <w:rPr>
            <w:rStyle w:val="a3"/>
            <w:rFonts w:ascii="Times New Roman" w:hAnsi="Times New Roman" w:cs="Times New Roman"/>
            <w:sz w:val="26"/>
            <w:szCs w:val="26"/>
          </w:rPr>
          <w:t>https://www.garant.ru/news/1286245/</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lastRenderedPageBreak/>
        <w:t>Появилось законодательное определение понятия "фитнес-центр"</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5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Оно введено Федеральным законом от 2 августа 2019 г. № 303-ФЗ, который на днях подписал Президент РФ Владимир Путин. Регулированию деятельности фитнес-центров теперь посвящена отдельная статья в Федеральном законе от 4 декабря 2007 г. № 329-ФЗ "О физической культуре и спорте в Российской Федерации".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Под фитнес-центрами понимаются физкультурно-спортивные организации, целью деятельности которых является оказание гражданам услуг по физической подготовке и физическому развитию. Такие организации призваны организовывать работу по формированию здорового образа жизни граждан, создавать условия для сохранения и укрепления их физического здоровья, а также физического воспитания. При этом оговорено, что они могут быть членами общероссийских и международных спортивных объединений. Также им разрешено устанавливать стандарты качества оказываемых услуг.</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В новой статье перечислены права и обязанности фитнес-центров и их объединений. В числе прав указаны: организация и оказание гражданам услуг по физической подготовке и физическому развитию; организация и проведение официальных физкультурных или спортивных мероприятий; осуществление подготовки населения к выполнению нормативов испытаний (тестов) комплекса ГТО. А в числе обязанностей – создание условий по оказанию гражданам услуг по физической подготовке и развитию (в т. ч. посредством предоставления помещений, зданий, сооружений, обеспечения спортивным инвентарем и оборудованием), привлечение квалифицированных работников и обеспечение условий для повышения их квалификации, а также безвозмездное предоставление субъектам официального статистического учета первичных статистических и административных данных. Также фитнес-центры в установленных законодательством случаях должны применять профстандарты в части требований к квалификации работников с учетом особенностей выполняемых ими трудовых функций.</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Источник: Гарант </w:t>
      </w:r>
      <w:hyperlink r:id="rId43" w:history="1">
        <w:r>
          <w:rPr>
            <w:rStyle w:val="a3"/>
            <w:rFonts w:ascii="Times New Roman" w:hAnsi="Times New Roman" w:cs="Times New Roman"/>
            <w:sz w:val="26"/>
            <w:szCs w:val="26"/>
          </w:rPr>
          <w:t>https://www.garant.ru/news/1286254/</w:t>
        </w:r>
      </w:hyperlink>
    </w:p>
    <w:p w:rsidR="002104F5" w:rsidRDefault="002104F5">
      <w:bookmarkStart w:id="0" w:name="_GoBack"/>
      <w:bookmarkEnd w:id="0"/>
    </w:p>
    <w:sectPr w:rsidR="00210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D4979"/>
    <w:multiLevelType w:val="hybridMultilevel"/>
    <w:tmpl w:val="29FAB234"/>
    <w:lvl w:ilvl="0" w:tplc="D3BC609E">
      <w:start w:val="6"/>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06D"/>
    <w:rsid w:val="002104F5"/>
    <w:rsid w:val="009B7044"/>
    <w:rsid w:val="00BD5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DF1CE-B936-48EA-A70E-F4FABD9C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044"/>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70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93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news/1286641/" TargetMode="External"/><Relationship Id="rId13" Type="http://schemas.openxmlformats.org/officeDocument/2006/relationships/hyperlink" Target="https://www.garant.ru/news/1286780/" TargetMode="External"/><Relationship Id="rId18" Type="http://schemas.openxmlformats.org/officeDocument/2006/relationships/hyperlink" Target="http://www.garant.ru/news/1286489/" TargetMode="External"/><Relationship Id="rId26" Type="http://schemas.openxmlformats.org/officeDocument/2006/relationships/hyperlink" Target="https://www.garant.ru/news/1286457/" TargetMode="External"/><Relationship Id="rId39" Type="http://schemas.openxmlformats.org/officeDocument/2006/relationships/hyperlink" Target="https://www.garant.ru/news/1286808/" TargetMode="External"/><Relationship Id="rId3" Type="http://schemas.openxmlformats.org/officeDocument/2006/relationships/settings" Target="settings.xml"/><Relationship Id="rId21" Type="http://schemas.openxmlformats.org/officeDocument/2006/relationships/hyperlink" Target="https://www.garant.ru/news/1286545/" TargetMode="External"/><Relationship Id="rId34" Type="http://schemas.openxmlformats.org/officeDocument/2006/relationships/hyperlink" Target="https://www.garant.ru/news/1286273/" TargetMode="External"/><Relationship Id="rId42" Type="http://schemas.openxmlformats.org/officeDocument/2006/relationships/hyperlink" Target="https://www.garant.ru/news/1286245/" TargetMode="External"/><Relationship Id="rId7" Type="http://schemas.openxmlformats.org/officeDocument/2006/relationships/hyperlink" Target="https://www.garant.ru/news/1286806/" TargetMode="External"/><Relationship Id="rId12" Type="http://schemas.openxmlformats.org/officeDocument/2006/relationships/hyperlink" Target="https://www.garant.ru/news/1286673/" TargetMode="External"/><Relationship Id="rId17" Type="http://schemas.openxmlformats.org/officeDocument/2006/relationships/hyperlink" Target="https://www.garant.ru/news/1286547/" TargetMode="External"/><Relationship Id="rId25" Type="http://schemas.openxmlformats.org/officeDocument/2006/relationships/hyperlink" Target="https://www.garant.ru/news/1286456/" TargetMode="External"/><Relationship Id="rId33" Type="http://schemas.openxmlformats.org/officeDocument/2006/relationships/hyperlink" Target="https://www.garant.ru/news/1286371/" TargetMode="External"/><Relationship Id="rId38" Type="http://schemas.openxmlformats.org/officeDocument/2006/relationships/hyperlink" Target="https://www.garant.ru/news/1286110/" TargetMode="External"/><Relationship Id="rId2" Type="http://schemas.openxmlformats.org/officeDocument/2006/relationships/styles" Target="styles.xml"/><Relationship Id="rId16" Type="http://schemas.openxmlformats.org/officeDocument/2006/relationships/hyperlink" Target="http://genproc.gov.ru/" TargetMode="External"/><Relationship Id="rId20" Type="http://schemas.openxmlformats.org/officeDocument/2006/relationships/hyperlink" Target="https://www.garant.ru/news/1286528/" TargetMode="External"/><Relationship Id="rId29" Type="http://schemas.openxmlformats.org/officeDocument/2006/relationships/hyperlink" Target="https://www.garant.ru/news/1286339/" TargetMode="External"/><Relationship Id="rId41" Type="http://schemas.openxmlformats.org/officeDocument/2006/relationships/hyperlink" Target="https://www.garant.ru/news/1285714/" TargetMode="External"/><Relationship Id="rId1" Type="http://schemas.openxmlformats.org/officeDocument/2006/relationships/numbering" Target="numbering.xml"/><Relationship Id="rId6" Type="http://schemas.openxmlformats.org/officeDocument/2006/relationships/hyperlink" Target="https://www.garant.ru/news/1286929/" TargetMode="External"/><Relationship Id="rId11" Type="http://schemas.openxmlformats.org/officeDocument/2006/relationships/hyperlink" Target="https://www.garant.ru/news/1286634/" TargetMode="External"/><Relationship Id="rId24" Type="http://schemas.openxmlformats.org/officeDocument/2006/relationships/hyperlink" Target="https://www.garant.ru/news/1286292/" TargetMode="External"/><Relationship Id="rId32" Type="http://schemas.openxmlformats.org/officeDocument/2006/relationships/hyperlink" Target="https://www.gosuslugi.ru/330630" TargetMode="External"/><Relationship Id="rId37" Type="http://schemas.openxmlformats.org/officeDocument/2006/relationships/hyperlink" Target="https://www.garant.ru/news/1286091/" TargetMode="External"/><Relationship Id="rId40" Type="http://schemas.openxmlformats.org/officeDocument/2006/relationships/hyperlink" Target="https://www.garant.ru/news/1286118/" TargetMode="External"/><Relationship Id="rId45" Type="http://schemas.openxmlformats.org/officeDocument/2006/relationships/theme" Target="theme/theme1.xml"/><Relationship Id="rId5" Type="http://schemas.openxmlformats.org/officeDocument/2006/relationships/hyperlink" Target="https://www.garant.ru/news/1286808/" TargetMode="External"/><Relationship Id="rId15" Type="http://schemas.openxmlformats.org/officeDocument/2006/relationships/hyperlink" Target="https://www.garant.ru/news/1286763/" TargetMode="External"/><Relationship Id="rId23" Type="http://schemas.openxmlformats.org/officeDocument/2006/relationships/hyperlink" Target="https://www.garant.ru/news/1286330/" TargetMode="External"/><Relationship Id="rId28" Type="http://schemas.openxmlformats.org/officeDocument/2006/relationships/hyperlink" Target="https://www.garant.ru/news/1286331/" TargetMode="External"/><Relationship Id="rId36" Type="http://schemas.openxmlformats.org/officeDocument/2006/relationships/hyperlink" Target="https://www.garant.ru/news/1285919/" TargetMode="External"/><Relationship Id="rId10" Type="http://schemas.openxmlformats.org/officeDocument/2006/relationships/hyperlink" Target="https://www.garant.ru/news/1286636/" TargetMode="External"/><Relationship Id="rId19" Type="http://schemas.openxmlformats.org/officeDocument/2006/relationships/hyperlink" Target="https://www.garant.ru/news/1286542/" TargetMode="External"/><Relationship Id="rId31" Type="http://schemas.openxmlformats.org/officeDocument/2006/relationships/hyperlink" Target="https://www.gosuslugi.ru/356477"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arant.ru/news/1286635/" TargetMode="External"/><Relationship Id="rId14" Type="http://schemas.openxmlformats.org/officeDocument/2006/relationships/hyperlink" Target="https://www.garant.ru/news/1286637/" TargetMode="External"/><Relationship Id="rId22" Type="http://schemas.openxmlformats.org/officeDocument/2006/relationships/hyperlink" Target="https://www.garant.ru/news/1286492/" TargetMode="External"/><Relationship Id="rId27" Type="http://schemas.openxmlformats.org/officeDocument/2006/relationships/hyperlink" Target="https://www.garant.ru/news/1286324/" TargetMode="External"/><Relationship Id="rId30" Type="http://schemas.openxmlformats.org/officeDocument/2006/relationships/hyperlink" Target="https://www.garant.ru/news/1286377/" TargetMode="External"/><Relationship Id="rId35" Type="http://schemas.openxmlformats.org/officeDocument/2006/relationships/hyperlink" Target="https://www.garant.ru/news/1286345/" TargetMode="External"/><Relationship Id="rId43" Type="http://schemas.openxmlformats.org/officeDocument/2006/relationships/hyperlink" Target="https://www.garant.ru/news/1286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10301</Words>
  <Characters>58719</Characters>
  <Application>Microsoft Office Word</Application>
  <DocSecurity>0</DocSecurity>
  <Lines>489</Lines>
  <Paragraphs>137</Paragraphs>
  <ScaleCrop>false</ScaleCrop>
  <Company/>
  <LinksUpToDate>false</LinksUpToDate>
  <CharactersWithSpaces>68883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ZhaboMA</dc:creator>
  <cp:keywords/>
  <dc:description/>
  <cp:lastModifiedBy>ZhaboMA</cp:lastModifiedBy>
  <cp:revision>2</cp:revision>
  <dcterms:created xsi:type="dcterms:W3CDTF">2019-08-14T06:56:00Z</dcterms:created>
  <dcterms:modified xsi:type="dcterms:W3CDTF">2019-08-14T06:56:00Z</dcterms:modified>
</cp:coreProperties>
</file>