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D8" w:rsidRPr="002F4DD8" w:rsidRDefault="002F4DD8" w:rsidP="002F4DD8">
      <w:pPr>
        <w:rPr>
          <w:b/>
          <w:bCs/>
          <w:u w:val="single"/>
        </w:rPr>
      </w:pPr>
      <w:r w:rsidRPr="002F4DD8">
        <w:rPr>
          <w:b/>
          <w:bCs/>
          <w:u w:val="single"/>
        </w:rPr>
        <w:t>С 1 января 2020 года во всех регионах определять и оспаривать кадастровую стоимость будут согласно закону о государственной кадастровой оценке</w:t>
      </w:r>
    </w:p>
    <w:p w:rsidR="002F4DD8" w:rsidRPr="002F4DD8" w:rsidRDefault="002F4DD8" w:rsidP="002F4DD8">
      <w:r w:rsidRPr="002F4DD8">
        <w:t>21 декабря 2018</w:t>
      </w:r>
    </w:p>
    <w:p w:rsidR="002F4DD8" w:rsidRPr="002F4DD8" w:rsidRDefault="002F4DD8" w:rsidP="002F4DD8">
      <w:r w:rsidRPr="002F4DD8">
        <w:t>Кадастровая оценка и оспаривание кадастровой стоимости пока могут осуществляться согласно Федеральному закону от 29 июля 1998 года № 135-ФЗ "Об оценочной деятельности в Российской Федерации" (далее – Закон № 135-ФЗ). Но с 1 января 2020 года во всех субъектах РФ эти вопросы должны будут регулироваться Федеральным законом от 3 июля 2016 года № 237-ФЗ "О государственной кадастровой оценке"(далее – Закон № 237-ФЗ). В течение переходного периода, который начался с 1 января 2017 года, государственная кадастровая оценка (ГКО) может проводиться в соответствии с обоими законами. При этом ГКО, начатая в соответствии с Законом № 135-ФЗ, должна быть завершена до 1 января 2020 года. Точная дата начала применения к отношениям, возникающим в связи с проведением государственной кадастровой оценки, пересмотром и оспариванием ее результатов, исключительно Закона № 237-ФЗ определяется высшим исполнительным органом государственной власти субъекта (ч. 1-3, ч. 5 ст. 24 Закона № 237-ФЗ).</w:t>
      </w:r>
    </w:p>
    <w:p w:rsidR="002F4DD8" w:rsidRPr="002F4DD8" w:rsidRDefault="002F4DD8" w:rsidP="002F4DD8">
      <w:r w:rsidRPr="002F4DD8">
        <w:t>Согласно "новому" порядку определение кадастровой стоимости объекта недвижимости осуществляется бюджетным учреждением в соответствии с методическими указаниями о ГКО, а не оценочной организацией, отбираемой на основе конкурса (ч. 1 ст. 14 Закона № 237-ФЗ). Датой утверждения результатов определения кадастровой стоимости – то есть вступления в силу соответствующего акта уполномоченного органа субъекта РФ, считается 1 января года, следующего за годом проведения ГКО. Но в любом случае акт вступает в силу не ранее чем по истечении одного месяца со дня его обнародования (ч. 4 ст. 15 Закона № 237-ФЗ). Убытки, причиненные в результате нарушений при определении кадастровой стоимости, возмещаются в полном объеме за счет бюджетного учреждения.</w:t>
      </w:r>
    </w:p>
    <w:p w:rsidR="002F4DD8" w:rsidRPr="002F4DD8" w:rsidRDefault="002F4DD8" w:rsidP="002F4DD8">
      <w:r w:rsidRPr="002F4DD8">
        <w:t>На практике нередко кадастровая стоимость объектов оказывается завышенной. А правообладатели, конечно, заинтересованы в справедливой оценке, поскольку кадастровая стоимость учитывается при определении налоговой базы по земельному налогу, налогу на имущество организаций и налогу на имущество физлиц. Главный юрисконсульт ООО НКЦ "Эталон" Александр Попов на круглом столе "Кадастровая оценка и налогообложение объектов недвижимости. Вопросы, возникающие на стыке бизнеса и власти", состоявшемся в МТПП, обозначил ключевые шаги, которые следует, как правило, предпринять для оспаривания кадастровой стоимости: подготовка отчета об оценке рыночной стоимости, оспаривание кадастровой стоимости в комиссии по рассмотрению споров о результатах определения кадастровой стоимости (далее – комиссия), подготовка и подача соответствующего административного искового заявления, разбирательство в суде первой инстанции и затем в апелляции. В отличие от порядка, предусмотренного ст. 24.18 Закона № 135-ФЗ, досудебная процедура оспаривания в комиссии для юрлиц согласно Закону № 237-ФЗ не является обязательной, можно сразу обращаться в суд.</w:t>
      </w:r>
    </w:p>
    <w:p w:rsidR="002F4DD8" w:rsidRPr="002F4DD8" w:rsidRDefault="002F4DD8" w:rsidP="002F4DD8">
      <w:r w:rsidRPr="002F4DD8">
        <w:t>Ключевыми документами, которые необходимо представить в суд при обращении с административным исковым заявлением об оспаривании результатов определения кадастровой стоимости являются:</w:t>
      </w:r>
    </w:p>
    <w:p w:rsidR="002F4DD8" w:rsidRPr="002F4DD8" w:rsidRDefault="002F4DD8" w:rsidP="002F4DD8">
      <w:r w:rsidRPr="002F4DD8">
        <w:t>правоустанавливающие или правоудостоверяющие документы на объект недвижимости;</w:t>
      </w:r>
    </w:p>
    <w:p w:rsidR="002F4DD8" w:rsidRPr="002F4DD8" w:rsidRDefault="002F4DD8" w:rsidP="002F4DD8">
      <w:r w:rsidRPr="002F4DD8">
        <w:t>выписка из ЕГРН о кадастровой стоимости объекта;</w:t>
      </w:r>
    </w:p>
    <w:p w:rsidR="002F4DD8" w:rsidRPr="002F4DD8" w:rsidRDefault="002F4DD8" w:rsidP="002F4DD8">
      <w:r w:rsidRPr="002F4DD8">
        <w:t xml:space="preserve">отчет о рыночной стоимости объекта. </w:t>
      </w:r>
    </w:p>
    <w:p w:rsidR="002F4DD8" w:rsidRPr="002F4DD8" w:rsidRDefault="002F4DD8" w:rsidP="002F4DD8">
      <w:r w:rsidRPr="002F4DD8">
        <w:rPr>
          <w:lang w:val="en-US"/>
        </w:rPr>
        <w:lastRenderedPageBreak/>
        <w:t>C</w:t>
      </w:r>
      <w:r w:rsidRPr="002F4DD8">
        <w:t xml:space="preserve"> 1 января 2019 года будет изменен порядок применения кадастровой стоимости при налогообложении недвижимости. Измененная после указанной даты кадастровая стоимость должна учитываться при налогообложении с даты начала применения изначальной стоимости. </w:t>
      </w:r>
    </w:p>
    <w:p w:rsidR="002F4DD8" w:rsidRPr="002F4DD8" w:rsidRDefault="002F4DD8" w:rsidP="002F4DD8">
      <w:r w:rsidRPr="002F4DD8">
        <w:t xml:space="preserve">ГАРАНТ.РУ: </w:t>
      </w:r>
      <w:hyperlink r:id="rId4" w:anchor="ixzz5aXgrHbzD" w:history="1">
        <w:r w:rsidRPr="002F4DD8">
          <w:rPr>
            <w:rStyle w:val="a3"/>
          </w:rPr>
          <w:t>http://www.garant.ru/news/1234618/#ixzz5aXgrHbzD</w:t>
        </w:r>
      </w:hyperlink>
    </w:p>
    <w:p w:rsidR="002F4DD8" w:rsidRPr="002F4DD8" w:rsidRDefault="002F4DD8" w:rsidP="002F4DD8"/>
    <w:p w:rsidR="002F4DD8" w:rsidRPr="002F4DD8" w:rsidRDefault="002F4DD8" w:rsidP="002F4DD8">
      <w:pPr>
        <w:rPr>
          <w:b/>
          <w:bCs/>
          <w:u w:val="single"/>
        </w:rPr>
      </w:pPr>
      <w:r w:rsidRPr="002F4DD8">
        <w:rPr>
          <w:b/>
          <w:bCs/>
          <w:u w:val="single"/>
        </w:rPr>
        <w:t>В первом чтении принят законопроект об уплате самозанятыми взносов на ОМС</w:t>
      </w:r>
    </w:p>
    <w:p w:rsidR="002F4DD8" w:rsidRPr="002F4DD8" w:rsidRDefault="002F4DD8" w:rsidP="002F4DD8">
      <w:r w:rsidRPr="002F4DD8">
        <w:t>21 декабря 2018</w:t>
      </w:r>
    </w:p>
    <w:p w:rsidR="002F4DD8" w:rsidRPr="002F4DD8" w:rsidRDefault="002F4DD8" w:rsidP="002F4DD8">
      <w:r w:rsidRPr="002F4DD8">
        <w:t>Госдума рассмотрела в первом чтении поправки Правительства РФ в Федеральный закон от 29 ноября 2010 г. № 326-ФЗ "Об обязательном медицинском страховании в Российской Федерации".</w:t>
      </w:r>
    </w:p>
    <w:p w:rsidR="002F4DD8" w:rsidRPr="002F4DD8" w:rsidRDefault="002F4DD8" w:rsidP="002F4DD8">
      <w:r w:rsidRPr="002F4DD8">
        <w:t>Согласно правкам, самозанятые – то есть лица, занимающиеся в установленном законодательством РФ порядке частной практикой, – получат статус "страхователя" наряду с ИП, нотариусами, адвокатами, арбитражными управляющими.</w:t>
      </w:r>
    </w:p>
    <w:p w:rsidR="002F4DD8" w:rsidRPr="002F4DD8" w:rsidRDefault="002F4DD8" w:rsidP="002F4DD8">
      <w:r w:rsidRPr="002F4DD8">
        <w:t>Переходные положения законопроекта предполагают, что за прошлый и текущий год страховые взносы в ОМС за них уплатят регионы, а вот со следующего, 2019 года, им придется платить взносы в ОМС самим.</w:t>
      </w:r>
    </w:p>
    <w:p w:rsidR="002F4DD8" w:rsidRPr="002F4DD8" w:rsidRDefault="002F4DD8" w:rsidP="002F4DD8">
      <w:r w:rsidRPr="002F4DD8">
        <w:t xml:space="preserve">ГАРАНТ.РУ: </w:t>
      </w:r>
      <w:hyperlink r:id="rId5" w:anchor="ixzz5aXn7G0G4" w:history="1">
        <w:r w:rsidRPr="002F4DD8">
          <w:rPr>
            <w:rStyle w:val="a3"/>
          </w:rPr>
          <w:t>http://www.garant.ru/news/1234605/#ixzz5aXn7G0G4</w:t>
        </w:r>
      </w:hyperlink>
    </w:p>
    <w:p w:rsidR="002F4DD8" w:rsidRPr="002F4DD8" w:rsidRDefault="002F4DD8" w:rsidP="002F4DD8"/>
    <w:p w:rsidR="002F4DD8" w:rsidRPr="002F4DD8" w:rsidRDefault="002F4DD8" w:rsidP="002F4DD8">
      <w:pPr>
        <w:rPr>
          <w:b/>
          <w:bCs/>
          <w:u w:val="single"/>
        </w:rPr>
      </w:pPr>
      <w:r w:rsidRPr="002F4DD8">
        <w:rPr>
          <w:b/>
          <w:bCs/>
          <w:u w:val="single"/>
        </w:rPr>
        <w:t>Определено, когда и как можно получить назад деньги за невозвратные билеты на поезд</w:t>
      </w:r>
    </w:p>
    <w:p w:rsidR="002F4DD8" w:rsidRPr="002F4DD8" w:rsidRDefault="002F4DD8" w:rsidP="002F4DD8">
      <w:r w:rsidRPr="002F4DD8">
        <w:t>21 декабря 2018</w:t>
      </w:r>
    </w:p>
    <w:p w:rsidR="002F4DD8" w:rsidRPr="002F4DD8" w:rsidRDefault="002F4DD8" w:rsidP="002F4DD8">
      <w:r w:rsidRPr="002F4DD8">
        <w:t>Минтранс России скорректировал Правила перевозок пассажиров, багажа, грузобагажа железнодорожным транспортом. С 1 января следующего года можно будет получить деньги за невозвратные билеты, то есть не предусматривающие условия получения обратно стоимости проезда, в двух случаях (приказ Минтранса России от 18 сентября 2018 г. № 334 "О внесении изменений в Правила перевозок пассажиров, багажа, грузобагажа железнодорожным транспортом, утвержденные приказом Министерства транспорта Российской Федерации от 19 декабря 2013 г. № 473").</w:t>
      </w:r>
    </w:p>
    <w:p w:rsidR="002F4DD8" w:rsidRPr="002F4DD8" w:rsidRDefault="002F4DD8" w:rsidP="002F4DD8">
      <w:r w:rsidRPr="002F4DD8">
        <w:t>Во-первых, это станет возможным в ситуациях внезапной болезни самого пассажира или члена семьи, следующего с ним, имеются в виду супруг, родитель либо усыновитель и ребенок или усыновленный. То же касается смерти члена семьи либо травмирования пассажира из-за несчастного случая. Для возврата стоимости билета потребуются подтверждающие документы. В таком случае можно будет получить указанную стоимость, но без учета плацкарты, плату за сервисное обслуживание и иные платежи, однако это не распространяется на сбор за резервирование мест в поездах дальнего следования. При этом придется еще уплатить сбор за оформление возврата денег. А вернуть билет нужно будет в кассу станции посадки в срок не позднее пяти суток с момента отправления поезда.</w:t>
      </w:r>
    </w:p>
    <w:p w:rsidR="002F4DD8" w:rsidRPr="002F4DD8" w:rsidRDefault="002F4DD8" w:rsidP="002F4DD8">
      <w:r w:rsidRPr="002F4DD8">
        <w:t>Во-вторых, возврат допускается в случаях отмены или задержки отправления поезда либо непредоставления пассажиру места, указанного в билете. Тогда можно получить полную стоимость проезда (и билета, и плацкарты), сборы, плату за сервисное обслуживание и иные платежи. Сбор за оформление возврата денег в таких ситуациях взиматься не будет.</w:t>
      </w:r>
    </w:p>
    <w:p w:rsidR="002F4DD8" w:rsidRPr="002F4DD8" w:rsidRDefault="002F4DD8" w:rsidP="002F4DD8">
      <w:r w:rsidRPr="002F4DD8">
        <w:t>Аналогичные изменения о возможности возврата невозвратных билетов внесены в Устав железнодорожного транспорта, они также вступят в силу с 1 января следующего года.</w:t>
      </w:r>
    </w:p>
    <w:p w:rsidR="002F4DD8" w:rsidRPr="002F4DD8" w:rsidRDefault="002F4DD8" w:rsidP="002F4DD8">
      <w:r w:rsidRPr="002F4DD8">
        <w:lastRenderedPageBreak/>
        <w:t xml:space="preserve">ГАРАНТ.РУ: </w:t>
      </w:r>
      <w:hyperlink r:id="rId6" w:anchor="ixzz5aXoaNNeA" w:history="1">
        <w:r w:rsidRPr="002F4DD8">
          <w:rPr>
            <w:rStyle w:val="a3"/>
          </w:rPr>
          <w:t>http://www.garant.ru/news/1234614/#ixzz5aXoaNNeA</w:t>
        </w:r>
      </w:hyperlink>
    </w:p>
    <w:p w:rsidR="002F4DD8" w:rsidRPr="002F4DD8" w:rsidRDefault="002F4DD8" w:rsidP="002F4DD8"/>
    <w:p w:rsidR="002F4DD8" w:rsidRPr="002F4DD8" w:rsidRDefault="002F4DD8" w:rsidP="002F4DD8">
      <w:pPr>
        <w:rPr>
          <w:b/>
          <w:bCs/>
          <w:u w:val="single"/>
        </w:rPr>
      </w:pPr>
      <w:r w:rsidRPr="002F4DD8">
        <w:rPr>
          <w:b/>
          <w:bCs/>
          <w:u w:val="single"/>
        </w:rPr>
        <w:t>Правительство РФ разработает меры по усилению эффективности контроля в сфере госзакупок</w:t>
      </w:r>
    </w:p>
    <w:p w:rsidR="002F4DD8" w:rsidRPr="002F4DD8" w:rsidRDefault="002F4DD8" w:rsidP="002F4DD8">
      <w:r w:rsidRPr="002F4DD8">
        <w:t>21 декабря 2018</w:t>
      </w:r>
    </w:p>
    <w:p w:rsidR="002F4DD8" w:rsidRPr="002F4DD8" w:rsidRDefault="002F4DD8" w:rsidP="002F4DD8">
      <w:r w:rsidRPr="002F4DD8">
        <w:t>Президент РФ поручил Правительству РФ оптимизировать ценообразование при заключении заказчиками контрактов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этих целях необходимо обеспечить:</w:t>
      </w:r>
    </w:p>
    <w:p w:rsidR="002F4DD8" w:rsidRPr="002F4DD8" w:rsidRDefault="002F4DD8" w:rsidP="002F4DD8">
      <w:r w:rsidRPr="002F4DD8">
        <w:t>использование механизма формирования и раскрытия структуры цены контрактов с единственным поставщиком;</w:t>
      </w:r>
    </w:p>
    <w:p w:rsidR="002F4DD8" w:rsidRPr="002F4DD8" w:rsidRDefault="002F4DD8" w:rsidP="002F4DD8">
      <w:r w:rsidRPr="002F4DD8">
        <w:t>внесение изменений в законодательство, предусматривающих утверждение перечня товаров, работ, услуг, подлежащих нормированию по их предельным ценам и характеристикам;</w:t>
      </w:r>
    </w:p>
    <w:p w:rsidR="002F4DD8" w:rsidRPr="002F4DD8" w:rsidRDefault="002F4DD8" w:rsidP="002F4DD8">
      <w:r w:rsidRPr="002F4DD8">
        <w:t>оптимизацию способов определения контрагентов, в том числе исключение при необходимости излишних, на основе анализа их применения;</w:t>
      </w:r>
    </w:p>
    <w:p w:rsidR="002F4DD8" w:rsidRPr="002F4DD8" w:rsidRDefault="002F4DD8" w:rsidP="002F4DD8">
      <w:r w:rsidRPr="002F4DD8">
        <w:t>проведение контрольных мероприятий в отношении закупки у единственного поставщика в случае признания конкурентной процедуры несостоявшейся;</w:t>
      </w:r>
    </w:p>
    <w:p w:rsidR="002F4DD8" w:rsidRPr="002F4DD8" w:rsidRDefault="002F4DD8" w:rsidP="002F4DD8">
      <w:r w:rsidRPr="002F4DD8">
        <w:t>расширение практики осуществления закупок одноимённых товаров, работ, услуг для нужд федеральных органов исполнительной власти посредством их централизации через уполномоченного заказчика (Перечень поручений по усилению эффективности контроля в сфере закупок товаров, работ и услуг для обеспечения государственных и муниципальных нужд).</w:t>
      </w:r>
    </w:p>
    <w:p w:rsidR="002F4DD8" w:rsidRPr="002F4DD8" w:rsidRDefault="002F4DD8" w:rsidP="002F4DD8">
      <w:r w:rsidRPr="002F4DD8">
        <w:t>В целях повышения эффективности прогнозирования, планирования и расходования бюджетных средств Правительству РФ поручено автоматизировать ряд процессов, среди которых:</w:t>
      </w:r>
    </w:p>
    <w:p w:rsidR="002F4DD8" w:rsidRPr="002F4DD8" w:rsidRDefault="002F4DD8" w:rsidP="002F4DD8">
      <w:r w:rsidRPr="002F4DD8">
        <w:t>- проверка данных о контрагенте, содержащихся в различных государственных информационных ресурсах, с исключением необходимости повторного представления документации;</w:t>
      </w:r>
    </w:p>
    <w:p w:rsidR="002F4DD8" w:rsidRPr="002F4DD8" w:rsidRDefault="002F4DD8" w:rsidP="002F4DD8">
      <w:r w:rsidRPr="002F4DD8">
        <w:t>- ведение плана и плана-графика закупок в виде единого электронного документа;</w:t>
      </w:r>
    </w:p>
    <w:p w:rsidR="002F4DD8" w:rsidRPr="002F4DD8" w:rsidRDefault="002F4DD8" w:rsidP="002F4DD8">
      <w:r w:rsidRPr="002F4DD8">
        <w:t>- расчет НМЦК, основанный в том числе на ценах контрагентов;</w:t>
      </w:r>
    </w:p>
    <w:p w:rsidR="002F4DD8" w:rsidRPr="002F4DD8" w:rsidRDefault="002F4DD8" w:rsidP="002F4DD8">
      <w:r w:rsidRPr="002F4DD8">
        <w:t>- формирование контрактов в электронной форме в ЕИС на основе типовых контрактов, типовых условий контрактов;</w:t>
      </w:r>
    </w:p>
    <w:p w:rsidR="002F4DD8" w:rsidRPr="002F4DD8" w:rsidRDefault="002F4DD8" w:rsidP="002F4DD8">
      <w:r w:rsidRPr="002F4DD8">
        <w:t>- контроль соблюдения сроков исполнения контрактов и начисления штрафов (пеней) за их нарушение.</w:t>
      </w:r>
    </w:p>
    <w:p w:rsidR="002F4DD8" w:rsidRPr="002F4DD8" w:rsidRDefault="002F4DD8" w:rsidP="002F4DD8">
      <w:r w:rsidRPr="002F4DD8">
        <w:t>По итогам указанных поручений Правительство РФ отчитается до 1 июля 2019 года. В дальнейшем соответствующий доклад будет представляться Президенту РФ один раз в полгода.</w:t>
      </w:r>
    </w:p>
    <w:p w:rsidR="002F4DD8" w:rsidRPr="002F4DD8" w:rsidRDefault="002F4DD8" w:rsidP="002F4DD8">
      <w:r w:rsidRPr="002F4DD8">
        <w:t xml:space="preserve">ГАРАНТ.РУ: </w:t>
      </w:r>
      <w:hyperlink r:id="rId7" w:anchor="ixzz5aXsCafLX" w:history="1">
        <w:r w:rsidRPr="002F4DD8">
          <w:rPr>
            <w:rStyle w:val="a3"/>
          </w:rPr>
          <w:t>http://www.garant.ru/news/1234608/#ixzz5aXsCafLX</w:t>
        </w:r>
      </w:hyperlink>
    </w:p>
    <w:p w:rsidR="002F4DD8" w:rsidRPr="002F4DD8" w:rsidRDefault="002F4DD8" w:rsidP="002F4DD8"/>
    <w:p w:rsidR="002F4DD8" w:rsidRPr="002F4DD8" w:rsidRDefault="002F4DD8" w:rsidP="002F4DD8">
      <w:pPr>
        <w:rPr>
          <w:b/>
          <w:bCs/>
          <w:u w:val="single"/>
        </w:rPr>
      </w:pPr>
      <w:r w:rsidRPr="002F4DD8">
        <w:rPr>
          <w:b/>
          <w:bCs/>
          <w:u w:val="single"/>
        </w:rPr>
        <w:t>Планируется уточнить положения Налогового кодекса, регулирующие уплату госпошлины за переоформление лицензии</w:t>
      </w:r>
    </w:p>
    <w:p w:rsidR="002F4DD8" w:rsidRPr="002F4DD8" w:rsidRDefault="002F4DD8" w:rsidP="002F4DD8">
      <w:r w:rsidRPr="002F4DD8">
        <w:t>21 декабря 2018</w:t>
      </w:r>
    </w:p>
    <w:p w:rsidR="002F4DD8" w:rsidRPr="002F4DD8" w:rsidRDefault="002F4DD8" w:rsidP="002F4DD8">
      <w:r w:rsidRPr="002F4DD8">
        <w:lastRenderedPageBreak/>
        <w:t>Правительство РФ внесло на рассмотрение в Госдуму законопроект, актуализирующий терминологию Налогового кодекса в соответствии с новеллами закона о лицензировании. Законопроект уже внесен на рассмотрение в Госдуму Правительством РФ. Предусматривается внедрение "реестровой модели" в сфере лицензирования отдельных видов деятельности, то есть перевод лицензирования в электронную форму. Предполагается отказ от предоставления лицензии на бумажном носителе. Госпошлина будет взиматься не за переоформление документа, подтверждающего наличие лицензии, а за переоформление самой лицензии. При этом размер госпошлины не изменится. Лицензирование в электронной форме приведет к уменьшению документооборота в данной сфере. Проверить факт наличия лицензии можно будет с помощью обращения к соответствующим общедоступным реестрам лицензий. При этом за получение выписки из реестра предлагается не взимать госпошлину. Также подп. 92 п. 1 ст. 333.33 НК РФ планируется дополнить новым абзацем, в соответствии с которым в случае переоформления лицензии более чем по одному основанию, требующему уплату госпошлины, будет уплачиваться наибольшая по размеру.</w:t>
      </w:r>
    </w:p>
    <w:p w:rsidR="002F4DD8" w:rsidRPr="002F4DD8" w:rsidRDefault="002F4DD8" w:rsidP="002F4DD8">
      <w:r w:rsidRPr="002F4DD8">
        <w:t>В случае принятия закона он вступит в силу 1 января 2020 года, но не ранее чем по истечении одного месяца со дня его официального опубликования.</w:t>
      </w:r>
    </w:p>
    <w:p w:rsidR="002F4DD8" w:rsidRPr="002F4DD8" w:rsidRDefault="002F4DD8" w:rsidP="002F4DD8">
      <w:r w:rsidRPr="002F4DD8">
        <w:t xml:space="preserve">ГАРАНТ.РУ: </w:t>
      </w:r>
      <w:hyperlink r:id="rId8" w:anchor="ixzz5aXvd92UR" w:history="1">
        <w:r w:rsidRPr="002F4DD8">
          <w:rPr>
            <w:rStyle w:val="a3"/>
          </w:rPr>
          <w:t>http://www.garant.ru/news/1234603/#ixzz5aXvd92UR</w:t>
        </w:r>
      </w:hyperlink>
    </w:p>
    <w:p w:rsidR="002F4DD8" w:rsidRPr="002F4DD8" w:rsidRDefault="002F4DD8" w:rsidP="002F4DD8"/>
    <w:p w:rsidR="002F4DD8" w:rsidRPr="002F4DD8" w:rsidRDefault="002F4DD8" w:rsidP="002F4DD8">
      <w:pPr>
        <w:rPr>
          <w:b/>
          <w:bCs/>
          <w:u w:val="single"/>
        </w:rPr>
      </w:pPr>
      <w:r w:rsidRPr="002F4DD8">
        <w:rPr>
          <w:b/>
          <w:bCs/>
          <w:u w:val="single"/>
        </w:rPr>
        <w:t>При изменении стоимости товаров, отгруженных до 1 января 2019 года, в корректировочном счете-фактуре указывается НДС 18%</w:t>
      </w:r>
    </w:p>
    <w:p w:rsidR="002F4DD8" w:rsidRPr="002F4DD8" w:rsidRDefault="002F4DD8" w:rsidP="002F4DD8">
      <w:r w:rsidRPr="002F4DD8">
        <w:t>21 декабря 2018</w:t>
      </w:r>
    </w:p>
    <w:p w:rsidR="002F4DD8" w:rsidRPr="002F4DD8" w:rsidRDefault="002F4DD8" w:rsidP="002F4DD8">
      <w:r w:rsidRPr="002F4DD8">
        <w:t>С 2019 года предусмотрено повышение размера основной ставки НДС с 18% до 20% (письмо Департамента налоговой и таможенной политики Минфина России от 22 октября 2018 г. № 03-07-09/75650).</w:t>
      </w:r>
    </w:p>
    <w:p w:rsidR="002F4DD8" w:rsidRPr="002F4DD8" w:rsidRDefault="002F4DD8" w:rsidP="002F4DD8">
      <w:r w:rsidRPr="002F4DD8">
        <w:t>Ставка НДС в размере 20% применяется в отношении товаров (работ, услуг), имущественных прав, отгруженных (выполненных, оказанных), переданных начиная с 1 января 2019 года (ч. 4 ст. 5 Федерального закона от 3 августа 2018 г. № 303-ФЗ "О внесении изменений в отдельные законодательные акты Российской Федерации о налогах и сборах".</w:t>
      </w:r>
    </w:p>
    <w:p w:rsidR="002F4DD8" w:rsidRPr="002F4DD8" w:rsidRDefault="002F4DD8" w:rsidP="002F4DD8">
      <w:r w:rsidRPr="002F4DD8">
        <w:t>Поэтому в корректировочных счетах-фактурах, выставляемых с 1 января 2019 года в случае изменения стоимости товаров (работ, услуг), отгруженных (выполненных, оказанных) до 1 января 2019 года, указывается ставка НДС в размере 18%, действующая на дату отгрузки (выполнения, оказания) товаров (работ, услуг).</w:t>
      </w:r>
    </w:p>
    <w:p w:rsidR="002F4DD8" w:rsidRPr="002F4DD8" w:rsidRDefault="002F4DD8" w:rsidP="002F4DD8">
      <w:r w:rsidRPr="002F4DD8">
        <w:t xml:space="preserve">ГАРАНТ.РУ: </w:t>
      </w:r>
      <w:hyperlink r:id="rId9" w:anchor="ixzz5aY1Ol8Uu" w:history="1">
        <w:r w:rsidRPr="002F4DD8">
          <w:rPr>
            <w:rStyle w:val="a3"/>
          </w:rPr>
          <w:t>http://www.garant.ru/news/1234521/#ixzz5aY1Ol8Uu</w:t>
        </w:r>
      </w:hyperlink>
    </w:p>
    <w:p w:rsidR="002F4DD8" w:rsidRPr="002F4DD8" w:rsidRDefault="002F4DD8" w:rsidP="002F4DD8"/>
    <w:p w:rsidR="002F4DD8" w:rsidRPr="002F4DD8" w:rsidRDefault="002F4DD8" w:rsidP="002F4DD8">
      <w:pPr>
        <w:rPr>
          <w:b/>
          <w:bCs/>
          <w:u w:val="single"/>
        </w:rPr>
      </w:pPr>
      <w:r w:rsidRPr="002F4DD8">
        <w:rPr>
          <w:b/>
          <w:bCs/>
          <w:u w:val="single"/>
        </w:rPr>
        <w:t>ФНС России разъяснила порядок действий при поломке фискального накопителя ККТ</w:t>
      </w:r>
    </w:p>
    <w:p w:rsidR="002F4DD8" w:rsidRPr="002F4DD8" w:rsidRDefault="002F4DD8" w:rsidP="002F4DD8">
      <w:r w:rsidRPr="002F4DD8">
        <w:t>21 декабря 2018</w:t>
      </w:r>
    </w:p>
    <w:p w:rsidR="002F4DD8" w:rsidRPr="002F4DD8" w:rsidRDefault="002F4DD8" w:rsidP="002F4DD8">
      <w:r w:rsidRPr="002F4DD8">
        <w:t>В случае поломки фискального накопителя (п. 8.1 ст. 4.2 Федерального закона от 22 мая 2003 г. № 54-ФЗ "О применении контрольно-кассовой техники при осуществлении расчетов в Российской Федерации"), исключающей возможность считывания всех фискальных данных, которые должны храниться в его памяти, и формирования отчета о закрытии ФН:</w:t>
      </w:r>
    </w:p>
    <w:p w:rsidR="002F4DD8" w:rsidRPr="002F4DD8" w:rsidRDefault="002F4DD8" w:rsidP="002F4DD8">
      <w:r w:rsidRPr="002F4DD8">
        <w:t>предоставьте изготовителю фискальный накопитель для проведения экспертизы и получения заключения о причинах поломки;</w:t>
      </w:r>
    </w:p>
    <w:p w:rsidR="002F4DD8" w:rsidRPr="002F4DD8" w:rsidRDefault="002F4DD8" w:rsidP="002F4DD8">
      <w:r w:rsidRPr="002F4DD8">
        <w:lastRenderedPageBreak/>
        <w:t>в течение 5 рабочих дней со дня поломки подайте заявление о регистрации (перерегистрации, снятии с учета) ККТ, в которой сломался ФН;</w:t>
      </w:r>
    </w:p>
    <w:p w:rsidR="002F4DD8" w:rsidRPr="002F4DD8" w:rsidRDefault="002F4DD8" w:rsidP="002F4DD8">
      <w:r w:rsidRPr="002F4DD8">
        <w:t>изготовитель в течение 30 календарных дней со дня получения накопителя на экспертизу направит вам и в налоговые органы (через кабинет ККТ) заключение, содержащее сведения о наличии заводского брака, а также о возможности считывания фискальных данных;</w:t>
      </w:r>
    </w:p>
    <w:p w:rsidR="002F4DD8" w:rsidRPr="002F4DD8" w:rsidRDefault="002F4DD8" w:rsidP="002F4DD8">
      <w:r w:rsidRPr="002F4DD8">
        <w:t>если изготовителем подтверждена возможность считывания данных, то в течение 60 календарных дней с даты подачи заявления в ФНС России передайте в налоговые органы сведения, содержащиеся в ФН (письмо ФНС России от 12 декабря 2018 г. № ЕД-4-20/24091@ "О рассмотрении обращения").</w:t>
      </w:r>
    </w:p>
    <w:p w:rsidR="002F4DD8" w:rsidRPr="002F4DD8" w:rsidRDefault="002F4DD8" w:rsidP="002F4DD8">
      <w:r w:rsidRPr="002F4DD8">
        <w:t>Сообщается также, что экспертиза фискального накопителя, поломка которого произошла вследствие заводского брака, проводится изготовителем безвозмездно.</w:t>
      </w:r>
    </w:p>
    <w:p w:rsidR="002F4DD8" w:rsidRPr="002F4DD8" w:rsidRDefault="002F4DD8" w:rsidP="002F4DD8">
      <w:r w:rsidRPr="002F4DD8">
        <w:t xml:space="preserve">ГАРАНТ.РУ: </w:t>
      </w:r>
      <w:hyperlink r:id="rId10" w:anchor="ixzz5aY25Zmly" w:history="1">
        <w:r w:rsidRPr="002F4DD8">
          <w:rPr>
            <w:rStyle w:val="a3"/>
          </w:rPr>
          <w:t>http://www.garant.ru/news/1234516/#ixzz5aY25Zmly</w:t>
        </w:r>
      </w:hyperlink>
    </w:p>
    <w:p w:rsidR="002F4DD8" w:rsidRPr="002F4DD8" w:rsidRDefault="002F4DD8" w:rsidP="002F4DD8"/>
    <w:p w:rsidR="002F4DD8" w:rsidRPr="002F4DD8" w:rsidRDefault="002F4DD8" w:rsidP="002F4DD8">
      <w:pPr>
        <w:rPr>
          <w:b/>
          <w:bCs/>
          <w:u w:val="single"/>
        </w:rPr>
      </w:pPr>
      <w:r w:rsidRPr="002F4DD8">
        <w:rPr>
          <w:b/>
          <w:bCs/>
          <w:u w:val="single"/>
        </w:rPr>
        <w:t>Размер штрафа за несвоевременную сдачу СЗВ-М может быть уменьшен, если в организации работает значительное число сотрудников</w:t>
      </w:r>
    </w:p>
    <w:p w:rsidR="002F4DD8" w:rsidRPr="002F4DD8" w:rsidRDefault="002F4DD8" w:rsidP="002F4DD8">
      <w:r w:rsidRPr="002F4DD8">
        <w:t>21 декабря 2018</w:t>
      </w:r>
    </w:p>
    <w:p w:rsidR="002F4DD8" w:rsidRPr="002F4DD8" w:rsidRDefault="002F4DD8" w:rsidP="002F4DD8">
      <w:r w:rsidRPr="002F4DD8">
        <w:t>Юрлицу в судебном порядке удалось в 10 раз снизить размер штрафа за несвоевременную сдачу отчетности по форме СЗВ-М (постановление Арбитражного суда Центрального округа от 22 ноября 2018 года по делу № А14-1736/20181).</w:t>
      </w:r>
    </w:p>
    <w:p w:rsidR="002F4DD8" w:rsidRPr="002F4DD8" w:rsidRDefault="002F4DD8" w:rsidP="002F4DD8">
      <w:r w:rsidRPr="002F4DD8">
        <w:t>Организация, не оспаривая факта совершения правонарушения, посчитала, что размер штрафа не соответствует характеру и тяжести совершенного нарушения. В качестве смягчающих вину обстоятельств просило признать, например, такие как:</w:t>
      </w:r>
    </w:p>
    <w:p w:rsidR="002F4DD8" w:rsidRPr="002F4DD8" w:rsidRDefault="002F4DD8" w:rsidP="002F4DD8">
      <w:r w:rsidRPr="002F4DD8">
        <w:t>изменение кадрового состава;</w:t>
      </w:r>
    </w:p>
    <w:p w:rsidR="002F4DD8" w:rsidRPr="002F4DD8" w:rsidRDefault="002F4DD8" w:rsidP="002F4DD8">
      <w:r w:rsidRPr="002F4DD8">
        <w:t>совершение нарушения впервые;</w:t>
      </w:r>
    </w:p>
    <w:p w:rsidR="002F4DD8" w:rsidRPr="002F4DD8" w:rsidRDefault="002F4DD8" w:rsidP="002F4DD8">
      <w:r w:rsidRPr="002F4DD8">
        <w:t>отсутствие неблагоприятных последствий для застрахованных лиц, бюджета;</w:t>
      </w:r>
    </w:p>
    <w:p w:rsidR="002F4DD8" w:rsidRPr="002F4DD8" w:rsidRDefault="002F4DD8" w:rsidP="002F4DD8">
      <w:r w:rsidRPr="002F4DD8">
        <w:t>признание вины, отсутствие умысла.</w:t>
      </w:r>
    </w:p>
    <w:p w:rsidR="002F4DD8" w:rsidRPr="002F4DD8" w:rsidRDefault="002F4DD8" w:rsidP="002F4DD8">
      <w:r w:rsidRPr="002F4DD8">
        <w:t>В отношении страхователя Управление ПФР провело проверку, по результатам которой выявлено, что юрлицо несвоевременно представило отчетность по форме СЗВ-М за ноябрь 2016 года. Так как указанная форма содержала сведения о 427 застрахованных лицах, фонд наложил штраф в размере 213,5 тыс. руб.</w:t>
      </w:r>
    </w:p>
    <w:p w:rsidR="002F4DD8" w:rsidRPr="002F4DD8" w:rsidRDefault="002F4DD8" w:rsidP="002F4DD8">
      <w:r w:rsidRPr="002F4DD8">
        <w:t>Суд первой инстанции учел неумышленных характер нарушения, совершение нарушения впервые, отсутствие негативных последствий и посчитал возможным снизить размер финансовых санкций до 100 тыс. руб. В суде апелляционной инстанции общество настаивало на применение ст. 114 Налогового кодекса, согласно нормам которой установлен лишь минимальный предел снижения размера штрафа, а максимальный предел зависит от усмотрения фонда или суда. Суд поддержал организацию и снизил размер штрафа до 21 350 руб.</w:t>
      </w:r>
    </w:p>
    <w:p w:rsidR="002F4DD8" w:rsidRPr="002F4DD8" w:rsidRDefault="002F4DD8" w:rsidP="002F4DD8">
      <w:r w:rsidRPr="002F4DD8">
        <w:t>По результатам рассмотрения дела суд кассационной инстанции оставил постановление апелляции без изменений, в кассационную жалобу фонда – без удовлетворения.</w:t>
      </w:r>
    </w:p>
    <w:p w:rsidR="002F4DD8" w:rsidRPr="002F4DD8" w:rsidRDefault="002F4DD8" w:rsidP="002F4DD8">
      <w:r w:rsidRPr="002F4DD8">
        <w:t xml:space="preserve">ГАРАНТ.РУ: </w:t>
      </w:r>
      <w:hyperlink r:id="rId11" w:anchor="ixzz5aY49pQ68" w:history="1">
        <w:r w:rsidRPr="002F4DD8">
          <w:rPr>
            <w:rStyle w:val="a3"/>
          </w:rPr>
          <w:t>http://www.garant.ru/news/1234513/#ixzz5aY49pQ68</w:t>
        </w:r>
      </w:hyperlink>
    </w:p>
    <w:p w:rsidR="002F4DD8" w:rsidRPr="002F4DD8" w:rsidRDefault="002F4DD8" w:rsidP="002F4DD8"/>
    <w:p w:rsidR="002F4DD8" w:rsidRPr="002F4DD8" w:rsidRDefault="002F4DD8" w:rsidP="002F4DD8">
      <w:pPr>
        <w:rPr>
          <w:b/>
          <w:bCs/>
          <w:u w:val="single"/>
        </w:rPr>
      </w:pPr>
      <w:r w:rsidRPr="002F4DD8">
        <w:rPr>
          <w:b/>
          <w:bCs/>
          <w:u w:val="single"/>
        </w:rPr>
        <w:lastRenderedPageBreak/>
        <w:t>Утверждена форма лицензии на производство и оборот этилового спирта, алкогольной и спиртосодержащей продукции</w:t>
      </w:r>
    </w:p>
    <w:p w:rsidR="002F4DD8" w:rsidRPr="002F4DD8" w:rsidRDefault="002F4DD8" w:rsidP="002F4DD8">
      <w:r w:rsidRPr="002F4DD8">
        <w:t>21 декабря 2018</w:t>
      </w:r>
    </w:p>
    <w:p w:rsidR="002F4DD8" w:rsidRPr="002F4DD8" w:rsidRDefault="002F4DD8" w:rsidP="002F4DD8">
      <w:r w:rsidRPr="002F4DD8">
        <w:t>Минфин России опубликовал соответствующий приказ1. При этом в связи с утверждением новой формы бланки ранее выданных лицензий не подлежат замене. Документ вступит в силу 21 марта 2019 года.</w:t>
      </w:r>
    </w:p>
    <w:p w:rsidR="002F4DD8" w:rsidRPr="002F4DD8" w:rsidRDefault="002F4DD8" w:rsidP="002F4DD8">
      <w:r w:rsidRPr="002F4DD8">
        <w:t xml:space="preserve">ГАРАНТ.РУ: </w:t>
      </w:r>
      <w:hyperlink r:id="rId12" w:anchor="ixzz5aY5QRcy5" w:history="1">
        <w:r w:rsidRPr="002F4DD8">
          <w:rPr>
            <w:rStyle w:val="a3"/>
          </w:rPr>
          <w:t>http://www.garant.ru/news/1234503/#ixzz5aY5QRcy5</w:t>
        </w:r>
      </w:hyperlink>
    </w:p>
    <w:p w:rsidR="002F4DD8" w:rsidRPr="002F4DD8" w:rsidRDefault="002F4DD8" w:rsidP="002F4DD8"/>
    <w:p w:rsidR="002F4DD8" w:rsidRPr="002F4DD8" w:rsidRDefault="002F4DD8" w:rsidP="002F4DD8">
      <w:pPr>
        <w:rPr>
          <w:b/>
          <w:bCs/>
          <w:u w:val="single"/>
        </w:rPr>
      </w:pPr>
      <w:r w:rsidRPr="002F4DD8">
        <w:rPr>
          <w:b/>
          <w:bCs/>
          <w:u w:val="single"/>
        </w:rPr>
        <w:t>ФНС России внесла изменения в порядок заполнения декларации по транспортному налогу</w:t>
      </w:r>
    </w:p>
    <w:p w:rsidR="002F4DD8" w:rsidRPr="002F4DD8" w:rsidRDefault="002F4DD8" w:rsidP="002F4DD8">
      <w:r w:rsidRPr="002F4DD8">
        <w:t>21 декабря 2018</w:t>
      </w:r>
    </w:p>
    <w:p w:rsidR="002F4DD8" w:rsidRPr="002F4DD8" w:rsidRDefault="002F4DD8" w:rsidP="002F4DD8">
      <w:r w:rsidRPr="002F4DD8">
        <w:t>ФНС России опубликовала приказ, вносящий изменения в форму налоговой декларации по транспортному налогу, формат представления и порядок ее заполнения. Изменения в форму декларации незначительны – действующие штрих-коды будут заменены на новые.</w:t>
      </w:r>
    </w:p>
    <w:p w:rsidR="002F4DD8" w:rsidRPr="002F4DD8" w:rsidRDefault="002F4DD8" w:rsidP="002F4DD8">
      <w:r w:rsidRPr="002F4DD8">
        <w:t>Измененный порядок заполнения декларации коснется налогоплательщиков, у которых в собственности есть транспортные средства, имеющие разрешенную максимальную массу свыше 12 тонн, зарегистрированные в реестре транспортных средств системы взимания платы. Указанные налогоплательщики будут уплачивать авансовые платежи за I, II, III кварталы и заполнять строки 023, 025 и 027. Нулевые значения проставляться не будут.</w:t>
      </w:r>
    </w:p>
    <w:p w:rsidR="002F4DD8" w:rsidRPr="002F4DD8" w:rsidRDefault="002F4DD8" w:rsidP="002F4DD8">
      <w:r w:rsidRPr="002F4DD8">
        <w:t>В настоящее время одна налоговая декларация в отношении нескольких транспортных средств может подаваться, если законодательством субъекта Федерации предусмотрено зачисление транспортного налога в региональный бюджет без направления по нормативам суммы налога в бюджеты муниципальных образований (п. 5.1 Порядка заполнения налоговой декларации по транспортному налогу, утв. приказом ФНС России от 5 декабря 2016 г. № ММВ-7-21/668@). После вступления в силу принятого приказа такое условие о нормативах будет исключено.</w:t>
      </w:r>
    </w:p>
    <w:p w:rsidR="002F4DD8" w:rsidRPr="002F4DD8" w:rsidRDefault="002F4DD8" w:rsidP="002F4DD8">
      <w:r w:rsidRPr="002F4DD8">
        <w:t>Коды видов транспортных средств будут изложены в новой редакции. Например, в отношении автомобилей, специально оборудованных для использования инвалидами, будет применяться код "510 01". По автобусам будет использоваться один код "540 00" вместо трех, действующих в настоящее время.</w:t>
      </w:r>
    </w:p>
    <w:p w:rsidR="002F4DD8" w:rsidRPr="002F4DD8" w:rsidRDefault="002F4DD8" w:rsidP="002F4DD8">
      <w:r w:rsidRPr="002F4DD8">
        <w:t>Документ вступает в силу 20 февраля 2019 года. Вносимые изменения будут применяться начиная с налогового периода 2019 года.</w:t>
      </w:r>
    </w:p>
    <w:p w:rsidR="002F4DD8" w:rsidRPr="002F4DD8" w:rsidRDefault="002F4DD8" w:rsidP="002F4DD8">
      <w:r w:rsidRPr="002F4DD8">
        <w:t xml:space="preserve">ГАРАНТ.РУ: </w:t>
      </w:r>
      <w:hyperlink r:id="rId13" w:anchor="ixzz5aY65T8Ns" w:history="1">
        <w:r w:rsidRPr="002F4DD8">
          <w:rPr>
            <w:rStyle w:val="a3"/>
          </w:rPr>
          <w:t>http://www.garant.ru/news/1234498/#ixzz5aY65T8Ns</w:t>
        </w:r>
      </w:hyperlink>
    </w:p>
    <w:p w:rsidR="002F4DD8" w:rsidRPr="002F4DD8" w:rsidRDefault="002F4DD8" w:rsidP="002F4DD8"/>
    <w:p w:rsidR="002F4DD8" w:rsidRPr="002F4DD8" w:rsidRDefault="002F4DD8" w:rsidP="002F4DD8">
      <w:pPr>
        <w:rPr>
          <w:b/>
          <w:bCs/>
          <w:u w:val="single"/>
        </w:rPr>
      </w:pPr>
      <w:r w:rsidRPr="002F4DD8">
        <w:rPr>
          <w:b/>
          <w:bCs/>
          <w:u w:val="single"/>
        </w:rPr>
        <w:t>С 21 декабря лица, выполняющие перевозки автомобильным и городским наземным электрическим транспортом, должны соблюдать ряд новых требований</w:t>
      </w:r>
    </w:p>
    <w:p w:rsidR="002F4DD8" w:rsidRPr="002F4DD8" w:rsidRDefault="002F4DD8" w:rsidP="002F4DD8">
      <w:pPr>
        <w:rPr>
          <w:lang w:val="en-US"/>
        </w:rPr>
      </w:pPr>
      <w:r w:rsidRPr="002F4DD8">
        <w:rPr>
          <w:lang w:val="en-US"/>
        </w:rPr>
        <w:t xml:space="preserve">20 </w:t>
      </w:r>
      <w:r w:rsidRPr="002F4DD8">
        <w:t>декабря</w:t>
      </w:r>
      <w:r w:rsidRPr="002F4DD8">
        <w:rPr>
          <w:lang w:val="en-US"/>
        </w:rPr>
        <w:t xml:space="preserve"> 2018</w:t>
      </w:r>
    </w:p>
    <w:p w:rsidR="002F4DD8" w:rsidRPr="002F4DD8" w:rsidRDefault="002F4DD8" w:rsidP="002F4DD8">
      <w:r w:rsidRPr="002F4DD8">
        <w:t>21 декабря 2018 года вступят в силу изменения в Федеральный закон от 10 декабря 1995 г. № 196-ФЗ "О безопасности дорожного движения" (далее – Закон № 196-ФЗ).</w:t>
      </w:r>
    </w:p>
    <w:p w:rsidR="002F4DD8" w:rsidRPr="002F4DD8" w:rsidRDefault="002F4DD8" w:rsidP="002F4DD8">
      <w:r w:rsidRPr="002F4DD8">
        <w:t xml:space="preserve">Юрлица и ИП, выполняющие перевозки для собственных нужд автобусами и грузовыми автомобилями, будут обязаны выполнять помимо общих требований по обеспечению безопасности дорожного движения, предусмотренных п. 1 ст. 20 Закона № 196-ФЗ, ряд </w:t>
      </w:r>
      <w:r w:rsidRPr="002F4DD8">
        <w:lastRenderedPageBreak/>
        <w:t>дополнительных обязанностей, закрепленных в п. 2 данной статьи, в частности, организовывать и проводить предрейсовый или предсменный контроль технического состояния транспортных средств (Федеральный закон от 20 декабря 2017 г. № 398-ФЗ).</w:t>
      </w:r>
    </w:p>
    <w:p w:rsidR="002F4DD8" w:rsidRPr="002F4DD8" w:rsidRDefault="002F4DD8" w:rsidP="002F4DD8">
      <w:r w:rsidRPr="002F4DD8">
        <w:t>Первоначально предполагалось, что эти дополнительные обязанности юрлица и ИП должны будут выполнять при любых перевозках для собственных нужд. Однако впоследствии эта формулировка была скорректирована и сейчас в ней идет речь о перевозках для собственных нужд именно автобусами и грузовыми автомобилями (Федеральный закон от 30 октября 2018 г. № 386-ФЗ).</w:t>
      </w:r>
    </w:p>
    <w:p w:rsidR="002F4DD8" w:rsidRPr="002F4DD8" w:rsidRDefault="002F4DD8" w:rsidP="002F4DD8">
      <w:r w:rsidRPr="002F4DD8">
        <w:t>У всех юрлиц и ИП, осуществляющих эксплуатацию транспортных средств, появится обязанность осуществлять техническое обслуживание транспортных средств в сроки, предусмотренные документацией заводов – изготовителей. А обязанность создавать условия для повышения квалификации водителей, предъявляемая сейчас ко всем юридическим лицам и ИП, осуществляющим эксплуатацию ТС, после вступления поправок в силу будет распространяться только на юрлиц и ИП, осуществляющих коммерческие перевозки и перевозки для собственных нужд автобусами и грузовыми автомобилями.</w:t>
      </w:r>
    </w:p>
    <w:p w:rsidR="002F4DD8" w:rsidRPr="002F4DD8" w:rsidRDefault="002F4DD8" w:rsidP="002F4DD8">
      <w:r w:rsidRPr="002F4DD8">
        <w:t>В п. 3 ст. 20 Закона № 196-ФЗ после вступления поправок в силу отдельно будет закреплен ряд обязанностей для физических лиц, осуществляющих эксплуатацию транспортных средств с количеством мест для сидения более 8 (помимо места водителя) и разрешенная максимальная масса которых превышает 3500 кг. В частности, они тоже будут обязаны осуществлять техническое обслуживание транспортных средств в сроки, предусмотренные документацией заводов – изготовителей.</w:t>
      </w:r>
    </w:p>
    <w:p w:rsidR="002F4DD8" w:rsidRPr="002F4DD8" w:rsidRDefault="002F4DD8" w:rsidP="002F4DD8">
      <w:r w:rsidRPr="002F4DD8">
        <w:t>Предусмотрены и иные изменения: с указанной даты должностные лица органов госнадзора получат право доступа к тахографу, установленному на транспортном средстве, и т. д.</w:t>
      </w:r>
    </w:p>
    <w:p w:rsidR="002F4DD8" w:rsidRPr="002F4DD8" w:rsidRDefault="002F4DD8" w:rsidP="002F4DD8">
      <w:r w:rsidRPr="002F4DD8">
        <w:t>Относительно обязанности проведения предрейсового или предсменного контроля технического состояния транспортных средств отметим, что 21 декабря 2018 года вступит в силу Порядок их организации и проведения.</w:t>
      </w:r>
    </w:p>
    <w:p w:rsidR="002F4DD8" w:rsidRPr="002F4DD8" w:rsidRDefault="002F4DD8" w:rsidP="002F4DD8">
      <w:r w:rsidRPr="002F4DD8">
        <w:t>Порядок был разработан в связи с принятием рассматриваемого Закона № 398-ФЗ, однако он пока не учитывает внесенные впоследствии в этот закон изменения, в части ограничения круга юрлиц и ИП, выполняющих перевозки "для себя", теми, кто использует в этих целях автобусы и грузовики.</w:t>
      </w:r>
    </w:p>
    <w:p w:rsidR="002F4DD8" w:rsidRPr="002F4DD8" w:rsidRDefault="002F4DD8" w:rsidP="002F4DD8">
      <w:r w:rsidRPr="002F4DD8">
        <w:t>Согласно положениям указанного Порядка, предрейсовый контроль должен проводиться, если в течение одной смены (рабочего дня) выполняется только один рейс или длительность рейса превышает длительность смены (рабочего дня) водителя; а предсменный – если в течение смены (рабочего дня) водитель выполняет более одного рейса.</w:t>
      </w:r>
    </w:p>
    <w:p w:rsidR="002F4DD8" w:rsidRPr="002F4DD8" w:rsidRDefault="002F4DD8" w:rsidP="002F4DD8">
      <w:r w:rsidRPr="002F4DD8">
        <w:t>Оба вида контроля должны проводиться до выезда транспортного средства с парковки, предназначенной для стоянки ТС по возвращении из рейса и окончании смены водителя. А если на одном транспортном средстве посменно работает несколько водителей, контроль должен проводиться до начала рейса или смены (рабочего дня) того водителя, который первым выезжает с парковки.</w:t>
      </w:r>
    </w:p>
    <w:p w:rsidR="002F4DD8" w:rsidRPr="002F4DD8" w:rsidRDefault="002F4DD8" w:rsidP="002F4DD8">
      <w:r w:rsidRPr="002F4DD8">
        <w:t>Выпуск транспортного средства на линию без отметки о прохождении контроля и подписи контролера не допускается. Юрлица и ИП, осуществляющие коммерческие перевозки и перевозки "для себя", должны вести учет прохождения контроля.</w:t>
      </w:r>
    </w:p>
    <w:p w:rsidR="002F4DD8" w:rsidRPr="002F4DD8" w:rsidRDefault="002F4DD8" w:rsidP="002F4DD8">
      <w:r w:rsidRPr="002F4DD8">
        <w:t>Действующим в Порядком (утратил силу 21 декабря 2018 года) предусмотрено проведение только предрейсового контроля. Понятие "предсменного контроля" было введено в Закон № 196-ФЗ движения рассматриваемыми поправками.</w:t>
      </w:r>
    </w:p>
    <w:p w:rsidR="002F4DD8" w:rsidRPr="002F4DD8" w:rsidRDefault="002F4DD8" w:rsidP="002F4DD8">
      <w:r w:rsidRPr="002F4DD8">
        <w:lastRenderedPageBreak/>
        <w:t xml:space="preserve">ГАРАНТ.РУ: </w:t>
      </w:r>
      <w:hyperlink r:id="rId14" w:anchor="ixzz5aYP2QfNl" w:history="1">
        <w:r w:rsidRPr="002F4DD8">
          <w:rPr>
            <w:rStyle w:val="a3"/>
          </w:rPr>
          <w:t>http://www.garant.ru/news/1234388/#ixzz5aYP2QfNl</w:t>
        </w:r>
      </w:hyperlink>
    </w:p>
    <w:p w:rsidR="002F4DD8" w:rsidRPr="002F4DD8" w:rsidRDefault="002F4DD8" w:rsidP="002F4DD8"/>
    <w:p w:rsidR="002F4DD8" w:rsidRPr="002F4DD8" w:rsidRDefault="002F4DD8" w:rsidP="002F4DD8">
      <w:pPr>
        <w:rPr>
          <w:b/>
          <w:bCs/>
          <w:u w:val="single"/>
        </w:rPr>
      </w:pPr>
      <w:r w:rsidRPr="002F4DD8">
        <w:rPr>
          <w:b/>
          <w:bCs/>
          <w:u w:val="single"/>
        </w:rPr>
        <w:t>Для реализации национальных проектов планируется привлекать частные инвестиции</w:t>
      </w:r>
    </w:p>
    <w:p w:rsidR="002F4DD8" w:rsidRPr="002F4DD8" w:rsidRDefault="002F4DD8" w:rsidP="002F4DD8">
      <w:r w:rsidRPr="002F4DD8">
        <w:t>20 декабря 2018</w:t>
      </w:r>
    </w:p>
    <w:p w:rsidR="002F4DD8" w:rsidRPr="002F4DD8" w:rsidRDefault="002F4DD8" w:rsidP="002F4DD8">
      <w:r w:rsidRPr="002F4DD8">
        <w:t>На официальном сайте Президента РФ опубликованы поручения главы государства относительно привлечения частных инвестиций в национальные проекты. Правительство РФ выработает критерии, необходимые для этого, и представит доклад до конца текущего года.</w:t>
      </w:r>
    </w:p>
    <w:p w:rsidR="002F4DD8" w:rsidRPr="002F4DD8" w:rsidRDefault="002F4DD8" w:rsidP="002F4DD8">
      <w:r w:rsidRPr="002F4DD8">
        <w:t>Речь идет о национальных проектах, предусмотренных новым майским указом Президента РФ. Это программы по направлениям демографии, здравоохранения, образования, жилья и городской среды, малому и среднему предпринимательству и поддержке индивидуальной предпринимательской инициативы, а также ряд других (подп. "б" п. 2 Указа Президента РФ от 7 мая 2018 г. № 204 "О национальных целях и стратегических задачах развития Российской Федерации на период до 2024 года").</w:t>
      </w:r>
    </w:p>
    <w:p w:rsidR="002F4DD8" w:rsidRPr="002F4DD8" w:rsidRDefault="002F4DD8" w:rsidP="002F4DD8">
      <w:r w:rsidRPr="002F4DD8">
        <w:t>В следующем году кабмин должен будет определить порядок формирования портфеля проектов для привлечения частных инвестиций, а также обеспечить их регулярное рассмотрение и утверждение. В рамках другого перечня поручений, также представленного на официальном сайте президента, предполагается, что в течение всего срока реализации проектов будет возможно перераспределение необходимых бюджетных ассигнований. И предусмотрена организация мероприятий по информационному сопровождению национальных проектов с соответствующим финансированием.</w:t>
      </w:r>
    </w:p>
    <w:p w:rsidR="002F4DD8" w:rsidRPr="002F4DD8" w:rsidRDefault="002F4DD8" w:rsidP="002F4DD8">
      <w:r w:rsidRPr="002F4DD8">
        <w:t xml:space="preserve">ГАРАНТ.РУ: </w:t>
      </w:r>
      <w:hyperlink r:id="rId15" w:anchor="ixzz5aYWN3NDV" w:history="1">
        <w:r w:rsidRPr="002F4DD8">
          <w:rPr>
            <w:rStyle w:val="a3"/>
          </w:rPr>
          <w:t>http://www.garant.ru/news/1234353/#ixzz5aYWN3NDV</w:t>
        </w:r>
      </w:hyperlink>
    </w:p>
    <w:p w:rsidR="002F4DD8" w:rsidRPr="002F4DD8" w:rsidRDefault="002F4DD8" w:rsidP="002F4DD8"/>
    <w:p w:rsidR="002F4DD8" w:rsidRPr="002F4DD8" w:rsidRDefault="002F4DD8" w:rsidP="002F4DD8">
      <w:pPr>
        <w:rPr>
          <w:b/>
          <w:bCs/>
          <w:u w:val="single"/>
        </w:rPr>
      </w:pPr>
      <w:r w:rsidRPr="002F4DD8">
        <w:rPr>
          <w:b/>
          <w:bCs/>
          <w:u w:val="single"/>
        </w:rPr>
        <w:t>Для стандартизации деятельности медицинских лабораторий разработаны рекомендации по внутреннему контролю качества</w:t>
      </w:r>
    </w:p>
    <w:p w:rsidR="002F4DD8" w:rsidRPr="002F4DD8" w:rsidRDefault="002F4DD8" w:rsidP="002F4DD8">
      <w:r w:rsidRPr="002F4DD8">
        <w:t>20 декабря 2018</w:t>
      </w:r>
    </w:p>
    <w:p w:rsidR="002F4DD8" w:rsidRPr="002F4DD8" w:rsidRDefault="002F4DD8" w:rsidP="002F4DD8">
      <w:r w:rsidRPr="002F4DD8">
        <w:t>ФГБУ ЦМИКЭЭ представило практические рекомендации, которые разработаны с целью стандартизации деятельности лабораторной службы медицинской организации для снижения ошибок и рисков для пациентов и медицинского персонала. Рекомендации позволят проводить внутренние и внешние аудиты деятельности медицинских лабораторий с целью организации внутреннего контроля качества и безопасности медицинской деятельности в медорганизациях и должны применяться совместно с рекомендациями по организации внутреннего контроля качества и безопасности медицинской деятельности в медицинской организации (стационаре) и рекомендациями по организации внутреннего контроля качества и безопасности медицинской деятельности в поликлинике (Предложения (практические рекомендации) по внутреннему контролю качества и безопасности медицинской деятельности в медицинской лаборатории.</w:t>
      </w:r>
    </w:p>
    <w:p w:rsidR="002F4DD8" w:rsidRPr="002F4DD8" w:rsidRDefault="002F4DD8" w:rsidP="002F4DD8">
      <w:r w:rsidRPr="002F4DD8">
        <w:t>Рекомендации составлены в виде чек-листов по девяти главным направлениям контроля.</w:t>
      </w:r>
    </w:p>
    <w:p w:rsidR="002F4DD8" w:rsidRPr="002F4DD8" w:rsidRDefault="002F4DD8" w:rsidP="002F4DD8">
      <w:r w:rsidRPr="002F4DD8">
        <w:t>Однако это не простые чек-листы: в них поименованы направления внутреннего контроля (его показатели) и способ их оценивания. Для показателя "Система штрих-кодирования пробы (при наличии)" предложено оценивать:</w:t>
      </w:r>
    </w:p>
    <w:p w:rsidR="002F4DD8" w:rsidRPr="002F4DD8" w:rsidRDefault="002F4DD8" w:rsidP="002F4DD8">
      <w:r w:rsidRPr="002F4DD8">
        <w:t xml:space="preserve">наличие и работоспособность IT-инфраструктуры – программно-аппаратного комплекса – ЛИС, принтеров и сканеры штрих-кодов – для проведения штрих-кодирования проб и использования </w:t>
      </w:r>
      <w:r w:rsidRPr="002F4DD8">
        <w:lastRenderedPageBreak/>
        <w:t>штрих-код номера на всех этапах лабораторного цикла от взятия биологического материала до выдачи результата (оценивать с помощью опросов и наблюдения);</w:t>
      </w:r>
    </w:p>
    <w:p w:rsidR="002F4DD8" w:rsidRPr="002F4DD8" w:rsidRDefault="002F4DD8" w:rsidP="002F4DD8">
      <w:r w:rsidRPr="002F4DD8">
        <w:t>принцип генерации номера штрих-кода для обеспечения уникальной идентификации каждой пробы/пациента (оценивать с помощью наблюдения и изучения документов)</w:t>
      </w:r>
    </w:p>
    <w:p w:rsidR="002F4DD8" w:rsidRPr="002F4DD8" w:rsidRDefault="002F4DD8" w:rsidP="002F4DD8">
      <w:r w:rsidRPr="002F4DD8">
        <w:t>обеспечение прослеживаемости пробы до пациента и направления (оценивать с помощью наблюдения).</w:t>
      </w:r>
    </w:p>
    <w:p w:rsidR="002F4DD8" w:rsidRPr="002F4DD8" w:rsidRDefault="002F4DD8" w:rsidP="002F4DD8">
      <w:r w:rsidRPr="002F4DD8">
        <w:t>Предложения состоят из восьми разделов:</w:t>
      </w:r>
    </w:p>
    <w:p w:rsidR="002F4DD8" w:rsidRPr="002F4DD8" w:rsidRDefault="002F4DD8" w:rsidP="002F4DD8">
      <w:r w:rsidRPr="002F4DD8">
        <w:t>управление персоналом,</w:t>
      </w:r>
    </w:p>
    <w:p w:rsidR="002F4DD8" w:rsidRPr="002F4DD8" w:rsidRDefault="002F4DD8" w:rsidP="002F4DD8">
      <w:r w:rsidRPr="002F4DD8">
        <w:t>обеспечение ресурсами,</w:t>
      </w:r>
    </w:p>
    <w:p w:rsidR="002F4DD8" w:rsidRPr="002F4DD8" w:rsidRDefault="002F4DD8" w:rsidP="002F4DD8">
      <w:r w:rsidRPr="002F4DD8">
        <w:t>идентификация и прослеживаемость,</w:t>
      </w:r>
    </w:p>
    <w:p w:rsidR="002F4DD8" w:rsidRPr="002F4DD8" w:rsidRDefault="002F4DD8" w:rsidP="002F4DD8">
      <w:r w:rsidRPr="002F4DD8">
        <w:t>производственная среда и безопасность,</w:t>
      </w:r>
    </w:p>
    <w:p w:rsidR="002F4DD8" w:rsidRPr="002F4DD8" w:rsidRDefault="002F4DD8" w:rsidP="002F4DD8">
      <w:r w:rsidRPr="002F4DD8">
        <w:t>управление информацией и информационная безопасность,</w:t>
      </w:r>
    </w:p>
    <w:p w:rsidR="002F4DD8" w:rsidRPr="002F4DD8" w:rsidRDefault="002F4DD8" w:rsidP="002F4DD8">
      <w:r w:rsidRPr="002F4DD8">
        <w:t>управление преаналитическими процессами,</w:t>
      </w:r>
    </w:p>
    <w:p w:rsidR="002F4DD8" w:rsidRPr="002F4DD8" w:rsidRDefault="002F4DD8" w:rsidP="002F4DD8">
      <w:r w:rsidRPr="002F4DD8">
        <w:t>управление аналитическими процедурами,</w:t>
      </w:r>
    </w:p>
    <w:p w:rsidR="002F4DD8" w:rsidRPr="002F4DD8" w:rsidRDefault="002F4DD8" w:rsidP="002F4DD8">
      <w:r w:rsidRPr="002F4DD8">
        <w:t>управление постаналитическими процедурами.</w:t>
      </w:r>
    </w:p>
    <w:p w:rsidR="002F4DD8" w:rsidRPr="002F4DD8" w:rsidRDefault="002F4DD8" w:rsidP="002F4DD8">
      <w:r w:rsidRPr="002F4DD8">
        <w:t xml:space="preserve">ГАРАНТ.РУ: </w:t>
      </w:r>
      <w:hyperlink r:id="rId16" w:anchor="ixzz5aYHqSsJB" w:history="1">
        <w:r w:rsidRPr="002F4DD8">
          <w:rPr>
            <w:rStyle w:val="a3"/>
          </w:rPr>
          <w:t>http://www.garant.ru/news/1234479/#ixzz5aYHqSsJB</w:t>
        </w:r>
      </w:hyperlink>
    </w:p>
    <w:p w:rsidR="002F4DD8" w:rsidRPr="002F4DD8" w:rsidRDefault="002F4DD8" w:rsidP="002F4DD8"/>
    <w:p w:rsidR="002F4DD8" w:rsidRPr="002F4DD8" w:rsidRDefault="002F4DD8" w:rsidP="002F4DD8">
      <w:pPr>
        <w:rPr>
          <w:b/>
          <w:bCs/>
          <w:u w:val="single"/>
        </w:rPr>
      </w:pPr>
      <w:r w:rsidRPr="002F4DD8">
        <w:rPr>
          <w:b/>
          <w:bCs/>
          <w:u w:val="single"/>
        </w:rPr>
        <w:t>ВС РФ готовит разъяснения о порядке оспаривания НПА и актов, обладающих нормативными свойствами</w:t>
      </w:r>
    </w:p>
    <w:p w:rsidR="002F4DD8" w:rsidRPr="002F4DD8" w:rsidRDefault="002F4DD8" w:rsidP="002F4DD8">
      <w:r w:rsidRPr="002F4DD8">
        <w:t>19 декабря 2018</w:t>
      </w:r>
    </w:p>
    <w:p w:rsidR="002F4DD8" w:rsidRPr="002F4DD8" w:rsidRDefault="002F4DD8" w:rsidP="002F4DD8">
      <w:r w:rsidRPr="002F4DD8">
        <w:t>Необходимость разработки соответствующего Постановления Пленума Верховного Суда Российской Федерации обусловлена в первую очередь существенными изменениями процессуального законодательства за последние годы. Во-первых, дела об оспаривании нормативных правовых актов больше не подведомственны арбитражным судам, за единственным исключением – СИП ведет производство по заявлениям о признании недействующими НПА, касающихся прав на интеллектуальную собственность (гл. 23 Арбитражного процессуального кодекса), а порядок рассмотрения данной категории судами общей юрисдикции изменился в связи с введением в действие Кодекса административного судопроизводства (гл. 21 КАС РФ не идентична ранее действовавшей гл. 24 Гражданского процессуального кодекса). Во-вторых, в 2016 году была законодательно закреплена возможность оспаривать в суде не только НПА, но и акты, содержащие разъяснения законодательства и обладающие нормативными свойствами (далее – акты, обладающие нормативными свойствами; Федеральный закон от 15 февраля 2016 г. № 18-ФЗ).</w:t>
      </w:r>
    </w:p>
    <w:p w:rsidR="002F4DD8" w:rsidRPr="002F4DD8" w:rsidRDefault="002F4DD8" w:rsidP="002F4DD8">
      <w:r w:rsidRPr="002F4DD8">
        <w:t>С учетом всех указанных нововведений ВС РФ подготовил единый проект Постановления Пленума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(далее – Проект), призванный заменить два пока действующих, но во многом устаревших документа:</w:t>
      </w:r>
    </w:p>
    <w:p w:rsidR="002F4DD8" w:rsidRPr="002F4DD8" w:rsidRDefault="002F4DD8" w:rsidP="002F4DD8">
      <w:r w:rsidRPr="002F4DD8">
        <w:t>Постановление Пленума ВС РФ от 29 ноября 2007 г. № 48 (далее – Постановление № 48);</w:t>
      </w:r>
    </w:p>
    <w:p w:rsidR="002F4DD8" w:rsidRPr="002F4DD8" w:rsidRDefault="002F4DD8" w:rsidP="002F4DD8">
      <w:r w:rsidRPr="002F4DD8">
        <w:lastRenderedPageBreak/>
        <w:t>Постановление Пленума ВАС РФ от 30 июля 2013 г. № 58. Упразднение Суда, напомним, не мешает использовать в судебной практике сформированные им и не потерявшие актуальности позиции.</w:t>
      </w:r>
    </w:p>
    <w:p w:rsidR="002F4DD8" w:rsidRPr="002F4DD8" w:rsidRDefault="002F4DD8" w:rsidP="002F4DD8">
      <w:r w:rsidRPr="002F4DD8">
        <w:t>ВС РФ предлагает понимать под актами, обладающими нормативными свойствами, акты органов государственной власти, местного самоуправления, иных органов и уполномоченных организаций или должностных лиц, в которых содержатся результаты толкования норм права, используемых в правоприменительной деятельности в отношении неопределенного круга лиц. Законодательного определения данного понятия нет, как, впрочем, и определения нормативно-правового акта, и суды при проверке актов руководствуются разъяснением ВС РФ о существенных признаках, характеризующих НПА. Обязательным для неопределенного круга лиц может являться и акт, изданный с целью установления правового режима конкретного объекта публичного права: об утверждении генеральных планов поселений, городских округов, установлении границ зон с особыми условиями использования территории и др.</w:t>
      </w:r>
    </w:p>
    <w:p w:rsidR="002F4DD8" w:rsidRPr="002F4DD8" w:rsidRDefault="002F4DD8" w:rsidP="002F4DD8">
      <w:r w:rsidRPr="002F4DD8">
        <w:t>Крайне важным представляется разъяснение о недопущении совместного рассмотрения судом искового требования об оспаривании НПА или акта, обладающего нормативными свойствами, и любого другого материально-правового требования.</w:t>
      </w:r>
    </w:p>
    <w:p w:rsidR="002F4DD8" w:rsidRPr="002F4DD8" w:rsidRDefault="002F4DD8" w:rsidP="002F4DD8">
      <w:r w:rsidRPr="002F4DD8">
        <w:t>Если при принятии заявления об оспаривании НПА суд установит, что данный акт не является нормативным, оно возвращается подавшему его лицу с обоснованием данного вывода. Если же ненормативный характер оспариваемого акта будет установлен уже после принятия заявления к производству, его рассмотрение может быть продолжено в порядке, предусмотренном для оспаривании ненормативных актов, решений и действий органов власти и должностных лиц, – если дело подсудно данному суду, а поданные документы (заявление и приложения к нему) соответствуют установленным законодательством требованиям. При установлении факта неподсудности спора суду, в который подано заявление, применяется общее правило о передаче дела по подсудности.</w:t>
      </w:r>
    </w:p>
    <w:p w:rsidR="002F4DD8" w:rsidRPr="002F4DD8" w:rsidRDefault="002F4DD8" w:rsidP="002F4DD8">
      <w:r w:rsidRPr="002F4DD8">
        <w:t xml:space="preserve">Особым образом ВС РФ подчеркнул возможность подачи искового заявления об оспаривании НПА или акта, обладающего нормативными свойствами, непосредственно административным истцом, даже если он не имеет высшего юридического образования. Но в таком случае истец обязан указать в заявлении лицо, которое будет его представителем по данному делу, и приложить копию документа, подтверждающего наличие у этого лица высшего юридического образования. </w:t>
      </w:r>
    </w:p>
    <w:p w:rsidR="002F4DD8" w:rsidRPr="002F4DD8" w:rsidRDefault="002F4DD8" w:rsidP="002F4DD8">
      <w:r w:rsidRPr="002F4DD8">
        <w:t>Ряд пояснений касается оснований отказа в принятии заявления об оспаривании акта. При наличии вступившего в законную силу решения суда по делу об оспаривании НПА или акта, обладающего нормативными свойствами, либо определенной части акта заявление о проверке законности этого акта или его соответствующей части от другого лица не принимается, даже если в обоснование требований положены доводы, не обсуждавшиеся при рассмотрении первого дела. Эти требования, по мнению ВС РФ, могут быть заявлены в ходе апелляционного или кассационного обжалования решения суда первой инстанции. Однако если в заявлении содержатся основания для проверки законности акта, которые не могли быть учтены при рассмотрении первого дела, например о поправках, внесенных после вынесения решения суда в законодательство, на соответствие которому проверялся нормативный акт или его часть, суд не имеет права не принять такое заявление.</w:t>
      </w:r>
    </w:p>
    <w:p w:rsidR="002F4DD8" w:rsidRPr="002F4DD8" w:rsidRDefault="002F4DD8" w:rsidP="002F4DD8">
      <w:r w:rsidRPr="002F4DD8">
        <w:t>В то же время несоблюдение требований к форме, порядку опубликования или регистрации НПА не является основанием для отказа в принятии заявления о его оспаривании, так как допущенные нарушения не исключают возможности его применения, считает Суд.</w:t>
      </w:r>
    </w:p>
    <w:p w:rsidR="002F4DD8" w:rsidRPr="002F4DD8" w:rsidRDefault="002F4DD8" w:rsidP="002F4DD8">
      <w:r w:rsidRPr="002F4DD8">
        <w:t xml:space="preserve">Если при рассмотрении дела об оспаривании нормативного акта суд установит, что он утратил силу, отменен или в связи с корректировкой перестал затрагивать права заявителя, производство </w:t>
      </w:r>
      <w:r w:rsidRPr="002F4DD8">
        <w:lastRenderedPageBreak/>
        <w:t>по делу прекращается, отмечается в Проекте. Но данное правило абсолютно закономерное предлагается не распространять на случаи, когда оспариваемый акт до принятия решения судом был отменен или перестал действовать, но за время его действия были нарушены права заявителя.</w:t>
      </w:r>
    </w:p>
    <w:p w:rsidR="002F4DD8" w:rsidRPr="002F4DD8" w:rsidRDefault="002F4DD8" w:rsidP="002F4DD8">
      <w:r w:rsidRPr="002F4DD8">
        <w:t>При этом рассмотрение дела об оспаривании НПА продолжается, по мнению ВС РФ, и тогда, когда оспариваемый акт отменен или утратил силу, но был принят новый, аналогичным образом регулирующий соответствующие правоотношения НПА, – в таком случае истцу нужно просто уточнить заявленные требования.</w:t>
      </w:r>
    </w:p>
    <w:p w:rsidR="002F4DD8" w:rsidRPr="002F4DD8" w:rsidRDefault="002F4DD8" w:rsidP="002F4DD8">
      <w:r w:rsidRPr="002F4DD8">
        <w:t>Значительная часть Проекта посвящена нюансам признания оспариваемого акта недействующим. При признании таковыми определенных нормативных положений все акты, на основании которых в эти нормы были внесены изменения, тоже автоматически становятся недействующими.</w:t>
      </w:r>
    </w:p>
    <w:p w:rsidR="002F4DD8" w:rsidRPr="002F4DD8" w:rsidRDefault="002F4DD8" w:rsidP="002F4DD8">
      <w:r w:rsidRPr="002F4DD8">
        <w:t>Важное разъяснение касается введенного КАС РФ права суда обязать орган или лицо, принявшее оспоренный и признанный недействующим НПА, принять новый акт во избежание недостаточности урегулирования соответствующих правоотношений. ВС РФ отмечает, что данная норма применяется только тогда, когда обязательность принятия такого акта установлена имеющим большую юридическую силу НПА.</w:t>
      </w:r>
    </w:p>
    <w:p w:rsidR="002F4DD8" w:rsidRPr="002F4DD8" w:rsidRDefault="002F4DD8" w:rsidP="002F4DD8">
      <w:r w:rsidRPr="002F4DD8">
        <w:t>Не может быть признан недействующим нормативный правовой акт, из содержания которого не следует толкование, используемое в правоприменительной практике, напоминает ВС РФ, указывая на необходимость приведения в соответствующем решении суда не только обоснования вывода о таком несоответствии, но и надлежащего толкования норм оспариваемого акта.</w:t>
      </w:r>
    </w:p>
    <w:p w:rsidR="002F4DD8" w:rsidRPr="002F4DD8" w:rsidRDefault="002F4DD8" w:rsidP="002F4DD8">
      <w:r w:rsidRPr="002F4DD8">
        <w:t>Особое внимание в Проекте уделено порядку определения момента, с которого акты признаются недействующими, в частности указано, в каких случаях суд вправе его устанавливать, а в каких – нет.</w:t>
      </w:r>
    </w:p>
    <w:p w:rsidR="002F4DD8" w:rsidRPr="002F4DD8" w:rsidRDefault="002F4DD8" w:rsidP="002F4DD8">
      <w:r w:rsidRPr="002F4DD8">
        <w:t>По итогам обсуждения на заседании Пленума ВС РФ документ был отправлен на доработку.</w:t>
      </w:r>
    </w:p>
    <w:p w:rsidR="002F4DD8" w:rsidRPr="002F4DD8" w:rsidRDefault="002F4DD8" w:rsidP="002F4DD8">
      <w:r w:rsidRPr="002F4DD8">
        <w:t xml:space="preserve">ГАРАНТ.РУ: </w:t>
      </w:r>
      <w:hyperlink r:id="rId17" w:anchor="ixzz5aY8N6fTK" w:history="1">
        <w:r w:rsidRPr="002F4DD8">
          <w:rPr>
            <w:rStyle w:val="a3"/>
          </w:rPr>
          <w:t>http://www.garant.ru/news/1234355/#ixzz5aY8N6fTK</w:t>
        </w:r>
      </w:hyperlink>
    </w:p>
    <w:p w:rsidR="002F4DD8" w:rsidRPr="002F4DD8" w:rsidRDefault="002F4DD8" w:rsidP="002F4DD8"/>
    <w:p w:rsidR="002F4DD8" w:rsidRPr="002F4DD8" w:rsidRDefault="002F4DD8" w:rsidP="002F4DD8">
      <w:pPr>
        <w:rPr>
          <w:b/>
          <w:bCs/>
          <w:u w:val="single"/>
        </w:rPr>
      </w:pPr>
      <w:r w:rsidRPr="002F4DD8">
        <w:rPr>
          <w:b/>
          <w:bCs/>
          <w:u w:val="single"/>
        </w:rPr>
        <w:t>Лесные участки будут передаваться в безвозмездное пользование на основании типового договора</w:t>
      </w:r>
    </w:p>
    <w:p w:rsidR="002F4DD8" w:rsidRPr="002F4DD8" w:rsidRDefault="002F4DD8" w:rsidP="002F4DD8">
      <w:r w:rsidRPr="002F4DD8">
        <w:t>19 декабря 2018</w:t>
      </w:r>
    </w:p>
    <w:p w:rsidR="002F4DD8" w:rsidRPr="002F4DD8" w:rsidRDefault="002F4DD8" w:rsidP="002F4DD8">
      <w:r w:rsidRPr="002F4DD8">
        <w:t>С 1 июня 2019 года изменится порядок предоставления лесных участков в безвозмездное пользование. В частности, их перестанут предоставлять в безвозмездное срочное пользование гражданам в виде служебных наделов, вместо это будут заключаться типовые договоры.</w:t>
      </w:r>
    </w:p>
    <w:p w:rsidR="002F4DD8" w:rsidRPr="002F4DD8" w:rsidRDefault="002F4DD8" w:rsidP="002F4DD8">
      <w:r w:rsidRPr="002F4DD8">
        <w:t>Уполномоченный федеральный орган власти будет определять правила использования лесов без предоставления соответствующего участка, с установлением сервитута, в том числе публичного, или без него, в целях:</w:t>
      </w:r>
    </w:p>
    <w:p w:rsidR="002F4DD8" w:rsidRPr="002F4DD8" w:rsidRDefault="002F4DD8" w:rsidP="002F4DD8">
      <w:r w:rsidRPr="002F4DD8">
        <w:t>ведения сельского хозяйства;</w:t>
      </w:r>
    </w:p>
    <w:p w:rsidR="002F4DD8" w:rsidRPr="002F4DD8" w:rsidRDefault="002F4DD8" w:rsidP="002F4DD8">
      <w:r w:rsidRPr="002F4DD8">
        <w:t>геологического изучения недр, разведки и добычи полезных ископаемых;</w:t>
      </w:r>
    </w:p>
    <w:p w:rsidR="002F4DD8" w:rsidRPr="002F4DD8" w:rsidRDefault="002F4DD8" w:rsidP="002F4DD8">
      <w:r w:rsidRPr="002F4DD8">
        <w:t>строительства, реконструкции, эксплуатации линейных объектов (Федеральный закон от 18 декабря 2018 г. № 471-ФЗ "О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 В этих целях гл. 6 Лесного кодекса планируется дополнить новыми ст. 74.2-74.4.</w:t>
      </w:r>
    </w:p>
    <w:p w:rsidR="002F4DD8" w:rsidRPr="002F4DD8" w:rsidRDefault="002F4DD8" w:rsidP="002F4DD8">
      <w:r w:rsidRPr="002F4DD8">
        <w:lastRenderedPageBreak/>
        <w:t xml:space="preserve">ГАРАНТ.РУ: </w:t>
      </w:r>
      <w:hyperlink r:id="rId18" w:anchor="ixzz5aYJ4XcDA" w:history="1">
        <w:r w:rsidRPr="002F4DD8">
          <w:rPr>
            <w:rStyle w:val="a3"/>
          </w:rPr>
          <w:t>http://www.garant.ru/news/1234260/#ixzz5aYJ4XcDA</w:t>
        </w:r>
      </w:hyperlink>
    </w:p>
    <w:p w:rsidR="002F4DD8" w:rsidRPr="002F4DD8" w:rsidRDefault="002F4DD8" w:rsidP="002F4DD8"/>
    <w:p w:rsidR="002F4DD8" w:rsidRPr="002F4DD8" w:rsidRDefault="002F4DD8" w:rsidP="002F4DD8">
      <w:pPr>
        <w:rPr>
          <w:b/>
          <w:bCs/>
          <w:u w:val="single"/>
        </w:rPr>
      </w:pPr>
      <w:r w:rsidRPr="002F4DD8">
        <w:rPr>
          <w:b/>
          <w:bCs/>
          <w:u w:val="single"/>
        </w:rPr>
        <w:t>Профобъединения страховщиков будут нести ответственность при их банкротстве перед застрахованными</w:t>
      </w:r>
    </w:p>
    <w:p w:rsidR="002F4DD8" w:rsidRPr="002F4DD8" w:rsidRDefault="002F4DD8" w:rsidP="002F4DD8">
      <w:r w:rsidRPr="002F4DD8">
        <w:t>19 декабря 2018</w:t>
      </w:r>
    </w:p>
    <w:p w:rsidR="002F4DD8" w:rsidRPr="002F4DD8" w:rsidRDefault="002F4DD8" w:rsidP="002F4DD8">
      <w:r w:rsidRPr="002F4DD8">
        <w:t>Президент РФ Владимир Путин подписал федеральный закон, который позволит страховому сообществу с 1 января следующего года защищать граждан при банкротстве страховщика. Неплатежеспособные страховщики будут передавать свои активы и обязательства другому страховщику, который и выплатит впоследствии все необходимое гражданам.  А недостающую сумму перечислит профессиональное объединение страховщиков, которую сформирует из отчислений страховых компаний.</w:t>
      </w:r>
    </w:p>
    <w:p w:rsidR="002F4DD8" w:rsidRPr="002F4DD8" w:rsidRDefault="002F4DD8" w:rsidP="002F4DD8">
      <w:r w:rsidRPr="002F4DD8">
        <w:t>Правительство РФ, подготовившее законопроект, отметило, что нововведения должны помочь профессиональным объединениям более активно использовать механизмы передачи страхового портфеля для сохранения обязательств перед гражданами по договорам обязательного страхования, заключенным страховыми организациями, которые были исключены из профессиональных объединений, в частности, в связи с банкротством.</w:t>
      </w:r>
    </w:p>
    <w:p w:rsidR="002F4DD8" w:rsidRPr="002F4DD8" w:rsidRDefault="002F4DD8" w:rsidP="002F4DD8">
      <w:r w:rsidRPr="002F4DD8">
        <w:t xml:space="preserve">ГАРАНТ.РУ: </w:t>
      </w:r>
      <w:hyperlink r:id="rId19" w:anchor="ixzz5aYJeu1R9" w:history="1">
        <w:r w:rsidRPr="002F4DD8">
          <w:rPr>
            <w:rStyle w:val="a3"/>
          </w:rPr>
          <w:t>http://www.garant.ru/news/1234220/#ixzz5aYJeu1R9</w:t>
        </w:r>
      </w:hyperlink>
    </w:p>
    <w:p w:rsidR="002F4DD8" w:rsidRPr="002F4DD8" w:rsidRDefault="002F4DD8" w:rsidP="002F4DD8"/>
    <w:p w:rsidR="002F4DD8" w:rsidRPr="002F4DD8" w:rsidRDefault="002F4DD8" w:rsidP="002F4DD8">
      <w:pPr>
        <w:rPr>
          <w:b/>
          <w:bCs/>
          <w:u w:val="single"/>
        </w:rPr>
      </w:pPr>
      <w:r w:rsidRPr="002F4DD8">
        <w:rPr>
          <w:b/>
          <w:bCs/>
          <w:u w:val="single"/>
        </w:rPr>
        <w:t>Cтраховой рынок – 2019: страхование жизни без мисселинга, движение к индивидуализированным тарифам ОСАГО, страхование жилья от ЧС</w:t>
      </w:r>
    </w:p>
    <w:p w:rsidR="002F4DD8" w:rsidRPr="002F4DD8" w:rsidRDefault="002F4DD8" w:rsidP="002F4DD8">
      <w:r w:rsidRPr="002F4DD8">
        <w:t>18 декабря 2018</w:t>
      </w:r>
    </w:p>
    <w:p w:rsidR="002F4DD8" w:rsidRPr="002F4DD8" w:rsidRDefault="002F4DD8" w:rsidP="002F4DD8">
      <w:r w:rsidRPr="002F4DD8">
        <w:t xml:space="preserve">Одним из приоритетов сферы страхования по-прежнему остается реформирование ОСАГО, а именно: постепенный переход к индивидуализированным тарифам, отметил в ходе прошедшей вчера пресс-конференции президент Всероссийского союза страховщиков (ВСС) Игорь Юргенс. Первый шаг к дифференциации тарифов уже сделан – в настоящее время на регистрации в Минюсте России находится утвержденное 30 ноября Советом директоров Банка России о предельных размерах базовых ставок и коэффициентов страховых тарифов по ОСАГО, а также о порядке их применения страховщиками при определении страховой премии. Документ предполагает, в частности, корректировку значений коэффициента страховых тарифов в зависимости от возраста и стажа (КВС) – 58 позиций вместо предусмотренных в настоящее время четырех, в результате которой для самых молодых и неопытных водителей КВС повысится с 1,8 до 1,87, а для категории с наименее рискованным сочетанием возраста и стажа (водители старше 59 лет, стаж которых – более трех лет) будет установлен более низкий по сравнению с действующим пока минимальным значением коэффициент – 0,93 вместо 1. Новое указание предполагает отказ от практики пересчета коэффициента бонус-малус (КБМ) в течение года – КБМ будет присваиваться водителям ежегодно 1 апреля, а также расширение тарифного коридора базовых ставок страхового тарифа  на 20% в каждую сторону (то есть минимальное значение уменьшается, а максимальное – увеличивается). Эти изменения, по мнению Банка России, позволят обеспечить более персонифицированный подход к тарифообразованию, однако для установления индивидуального тарифа для каждого водителя необходима соответствующая корректировка законодательства. Изменения в Федеральный закон от 25 апреля 2002 г. № 40-ФЗ "Об обязательном страховании гражданской ответственности владельцев транспортных средств" будут внесены, так как идея индивидуализации тарифов активно продвигается и Комитетом Госдумы по финансовому рынку. По прогнозам ВСС, установление новых тарифов и увеличение </w:t>
      </w:r>
      <w:r w:rsidRPr="002F4DD8">
        <w:lastRenderedPageBreak/>
        <w:t xml:space="preserve">коэффициентов для наиболее рискованных категорий водителей могут повлечь увеличение уплачиваемых ими страховых премий до 5%. </w:t>
      </w:r>
    </w:p>
    <w:p w:rsidR="002F4DD8" w:rsidRPr="002F4DD8" w:rsidRDefault="002F4DD8" w:rsidP="002F4DD8">
      <w:r w:rsidRPr="002F4DD8">
        <w:t>Еще одним существенно влияющим на рост рынка страхования в целом направлением, по словам Игоря Юргенса, является страхование жизни (его доля на текущий момент составляет 29,7%). Важно сохранить темпы развития данного вида страхования, обеспечив при этом защиту страхователей от так называемого мисселинга – продажи страховых продуктов без представления полной информации о них и сопутствующих рисках. С 7 мая следующего года начнут применяться утвержденные Банком России:</w:t>
      </w:r>
    </w:p>
    <w:p w:rsidR="002F4DD8" w:rsidRPr="002F4DD8" w:rsidRDefault="002F4DD8" w:rsidP="002F4DD8">
      <w:r w:rsidRPr="002F4DD8">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Документом среди прочего определено, какую информацию страховые компании обязаны предоставлять получателям страховых услуг при заключении договоров (п. 2.1.2 стандарта), причем для договоров об инвестиционном страховании жизни (ИСЖ) предусмотрен отдельный перечень сведений (п. 2.1.3 данного документа);</w:t>
      </w:r>
    </w:p>
    <w:p w:rsidR="002F4DD8" w:rsidRPr="002F4DD8" w:rsidRDefault="002F4DD8" w:rsidP="002F4DD8">
      <w:r w:rsidRPr="002F4DD8">
        <w:t>Базовый стандарт совершения страховыми организациями операций на финансовом рынке.</w:t>
      </w:r>
    </w:p>
    <w:p w:rsidR="002F4DD8" w:rsidRPr="002F4DD8" w:rsidRDefault="002F4DD8" w:rsidP="002F4DD8">
      <w:r w:rsidRPr="002F4DD8">
        <w:t xml:space="preserve">Также в следующем году вступает в силу большая часть положений закона, предусматривающего возможность утверждения региональными органами власти программ организации возмещения ущерба, причиненного в результате чрезвычайных ситуаций жилым помещениям граждан, с использованием механизма добровольного страхования. </w:t>
      </w:r>
    </w:p>
    <w:p w:rsidR="002F4DD8" w:rsidRPr="002F4DD8" w:rsidRDefault="002F4DD8" w:rsidP="002F4DD8">
      <w:r w:rsidRPr="002F4DD8">
        <w:t>Будет продолжено обсуждение инициативы ВСС об обязательном страховании ответственности владельцев крупных торгово-развлекательных центров и иных мест массового скопления людей. Соответствующие предложения, направленные в Комитет Госдумы по финансовым рынкам, пока поддерживает только МЧС России, хотя целью введения такого страхования, помимо обеспечения безопасности посетителей таких мест, является снижение избыточной административной нагрузки на предпринимателей – собственников данных объектов, что соотносится с главной задачей проводящейся реформы контрольно-надзорной деятельности.</w:t>
      </w:r>
    </w:p>
    <w:p w:rsidR="002F4DD8" w:rsidRPr="002F4DD8" w:rsidRDefault="002F4DD8" w:rsidP="002F4DD8">
      <w:r w:rsidRPr="002F4DD8">
        <w:t>Среди обозначенных президентом ВСС приоритетных направлений работы на следующий год следует выделить подготовку предложения о разработке концепции сопровождения страхованием всех этапов строительства и расширении возможностей агрострахования.</w:t>
      </w:r>
    </w:p>
    <w:p w:rsidR="002F4DD8" w:rsidRPr="002F4DD8" w:rsidRDefault="002F4DD8" w:rsidP="002F4DD8">
      <w:r w:rsidRPr="002F4DD8">
        <w:t xml:space="preserve">ГАРАНТ.РУ: </w:t>
      </w:r>
      <w:hyperlink r:id="rId20" w:anchor="ixzz5aYLTPvun" w:history="1">
        <w:r w:rsidRPr="002F4DD8">
          <w:rPr>
            <w:rStyle w:val="a3"/>
          </w:rPr>
          <w:t>http://www.garant.ru/news/1234194/#ixzz5aYLTPvun</w:t>
        </w:r>
      </w:hyperlink>
    </w:p>
    <w:p w:rsidR="002F4DD8" w:rsidRPr="002F4DD8" w:rsidRDefault="002F4DD8" w:rsidP="002F4DD8"/>
    <w:p w:rsidR="002F4DD8" w:rsidRPr="002F4DD8" w:rsidRDefault="002F4DD8" w:rsidP="002F4DD8">
      <w:pPr>
        <w:rPr>
          <w:b/>
          <w:bCs/>
          <w:u w:val="single"/>
        </w:rPr>
      </w:pPr>
      <w:r w:rsidRPr="002F4DD8">
        <w:rPr>
          <w:b/>
          <w:bCs/>
          <w:u w:val="single"/>
        </w:rPr>
        <w:t>Правила прохождения техосмотра транспортных средств планируется ужесточить</w:t>
      </w:r>
    </w:p>
    <w:p w:rsidR="002F4DD8" w:rsidRPr="002F4DD8" w:rsidRDefault="002F4DD8" w:rsidP="002F4DD8">
      <w:r w:rsidRPr="002F4DD8">
        <w:t>18 декабря 2018</w:t>
      </w:r>
    </w:p>
    <w:p w:rsidR="002F4DD8" w:rsidRPr="002F4DD8" w:rsidRDefault="002F4DD8" w:rsidP="002F4DD8">
      <w:r w:rsidRPr="002F4DD8">
        <w:t xml:space="preserve">МВД России представило для публичного обсуждения и независимой антикоррупционной экспертизы проект постановления кабмина, в соответствии с которым оператор техосмотра будет обязан сверять номера кузова, рамы, кабины, а также шасси транспортного средства с данными, указанными в регистрационных документах на него. Причем в случае выявления несоответствия заявителю предлагается отказывать в оказании соответствующих услуг. В этих целях планируется скорректировать п. 10-11 Правил проведения технического осмотра транспортных средств. </w:t>
      </w:r>
    </w:p>
    <w:p w:rsidR="002F4DD8" w:rsidRPr="002F4DD8" w:rsidRDefault="002F4DD8" w:rsidP="002F4DD8">
      <w:r w:rsidRPr="002F4DD8">
        <w:t>При этом правило, в соответствии с которым оплата услуг по проведению технического осмотра осуществляется до начала его проведения, менять не планируется.</w:t>
      </w:r>
    </w:p>
    <w:p w:rsidR="002F4DD8" w:rsidRPr="002F4DD8" w:rsidRDefault="002F4DD8" w:rsidP="002F4DD8">
      <w:r w:rsidRPr="002F4DD8">
        <w:t xml:space="preserve">Необходимость нововведений аргументируется данными министерства о неоднократных фактах эксплуатации транспортных средств с измененной маркировкой, а также их предоставления в </w:t>
      </w:r>
      <w:r w:rsidRPr="002F4DD8">
        <w:lastRenderedPageBreak/>
        <w:t>подразделения Госавтоинспекции МВД России для осуществления регистрационных действий. Публичное обсуждение и независимая антикоррупционная экспертиза документа завершатся 28 декабря.</w:t>
      </w:r>
    </w:p>
    <w:p w:rsidR="002F4DD8" w:rsidRPr="002F4DD8" w:rsidRDefault="002F4DD8" w:rsidP="002F4DD8">
      <w:r w:rsidRPr="002F4DD8">
        <w:t xml:space="preserve">ГАРАНТ.РУ: </w:t>
      </w:r>
      <w:hyperlink r:id="rId21" w:anchor="ixzz5aYQkQ8T9" w:history="1">
        <w:r w:rsidRPr="002F4DD8">
          <w:rPr>
            <w:rStyle w:val="a3"/>
          </w:rPr>
          <w:t>http://www.garant.ru/news/1233992/#ixzz5aYQkQ8T9</w:t>
        </w:r>
      </w:hyperlink>
    </w:p>
    <w:p w:rsidR="002F4DD8" w:rsidRPr="002F4DD8" w:rsidRDefault="002F4DD8" w:rsidP="002F4DD8"/>
    <w:p w:rsidR="002F4DD8" w:rsidRPr="002F4DD8" w:rsidRDefault="002F4DD8" w:rsidP="002F4DD8">
      <w:pPr>
        <w:rPr>
          <w:b/>
          <w:bCs/>
          <w:u w:val="single"/>
        </w:rPr>
      </w:pPr>
      <w:r w:rsidRPr="002F4DD8">
        <w:rPr>
          <w:b/>
          <w:bCs/>
          <w:u w:val="single"/>
        </w:rPr>
        <w:t>Проект "аптечных" правок: стеллаж в "полуметре" от стены, дополнительное образование в сфере контроля качества и расчеты риска для градусников</w:t>
      </w:r>
    </w:p>
    <w:p w:rsidR="002F4DD8" w:rsidRPr="002F4DD8" w:rsidRDefault="002F4DD8" w:rsidP="002F4DD8">
      <w:r w:rsidRPr="002F4DD8">
        <w:t>18 декабря 2018</w:t>
      </w:r>
    </w:p>
    <w:p w:rsidR="002F4DD8" w:rsidRPr="002F4DD8" w:rsidRDefault="002F4DD8" w:rsidP="002F4DD8">
      <w:r w:rsidRPr="002F4DD8">
        <w:t>Минздрав России представил проект поправок в Правила надлежащей аптечной практики и Правила надлежащей практики хранения и перевозки препаратов.</w:t>
      </w:r>
    </w:p>
    <w:p w:rsidR="002F4DD8" w:rsidRPr="002F4DD8" w:rsidRDefault="002F4DD8" w:rsidP="002F4DD8">
      <w:r w:rsidRPr="002F4DD8">
        <w:t>Лица, ответственные за внедрение и обеспечение системы качества (и актуализацию СОПов) должны будут – согласно правкам, – также иметь дополнительное образование в области контроля качества лекарственных препаратов. Если такое образование есть у руководителя аптеки – он сам сможет назначить себя ответственным лицом. Сведения о таких лицах должны будут передаваться в Росздравнадзор.</w:t>
      </w:r>
    </w:p>
    <w:p w:rsidR="002F4DD8" w:rsidRPr="002F4DD8" w:rsidRDefault="002F4DD8" w:rsidP="002F4DD8">
      <w:r w:rsidRPr="002F4DD8">
        <w:t>В сфере хранения лекарств и обустройства аптек предложено следующее:</w:t>
      </w:r>
    </w:p>
    <w:p w:rsidR="002F4DD8" w:rsidRPr="002F4DD8" w:rsidRDefault="002F4DD8" w:rsidP="002F4DD8">
      <w:r w:rsidRPr="002F4DD8">
        <w:t>исключить требование о раздельном хранении препаратов – достаточно будет того, что хранение является безопасным;</w:t>
      </w:r>
    </w:p>
    <w:p w:rsidR="002F4DD8" w:rsidRPr="002F4DD8" w:rsidRDefault="002F4DD8" w:rsidP="002F4DD8">
      <w:r w:rsidRPr="002F4DD8">
        <w:t>препараты с истекшим сроком годности предложено хранить в одной зоне с фальсификатами;</w:t>
      </w:r>
    </w:p>
    <w:p w:rsidR="002F4DD8" w:rsidRPr="002F4DD8" w:rsidRDefault="002F4DD8" w:rsidP="002F4DD8">
      <w:r w:rsidRPr="002F4DD8">
        <w:t>от зон хранения препаратов предложено отделить бытовые помещения (комнаты отдыха, гардеробные комнаты, душевые и туалеты); напомним, что сейчас отделению подлежат не бытовые, но "административно-бытовые";</w:t>
      </w:r>
    </w:p>
    <w:p w:rsidR="002F4DD8" w:rsidRPr="002F4DD8" w:rsidRDefault="002F4DD8" w:rsidP="002F4DD8">
      <w:r w:rsidRPr="002F4DD8">
        <w:t>в зонах хранения лекарств нужно будет провести анализ потенциальных рисков (например, отопительных приборов), и уже с учетов его итогов выбрать наиболее оптимальные точки для размещения термометров,</w:t>
      </w:r>
    </w:p>
    <w:p w:rsidR="002F4DD8" w:rsidRPr="002F4DD8" w:rsidRDefault="002F4DD8" w:rsidP="002F4DD8">
      <w:r w:rsidRPr="002F4DD8">
        <w:t>планируется исключить требование о том, что отделочные материалы должны соответствовать требованиям пожбезопасности, и о том, что места примыкания стен к потолку и полу не должны иметь углублений, выступов и карнизов,</w:t>
      </w:r>
    </w:p>
    <w:p w:rsidR="002F4DD8" w:rsidRPr="002F4DD8" w:rsidRDefault="002F4DD8" w:rsidP="002F4DD8">
      <w:r w:rsidRPr="002F4DD8">
        <w:t>предложено исключить требование о минимальном – не менее 0,5 метров – расстоянии аптечного оборудования от стен или другого оборудования: вместо этого будет общее требование о том, что при установке оборудования должен быть обеспечен доступ для очистки, дезинфекции, ремонта, технического обслуживания, поверки и (или) калибровки оборудования, доступ к товарам аптечного ассортимента, свободный проход работников.</w:t>
      </w:r>
    </w:p>
    <w:p w:rsidR="002F4DD8" w:rsidRPr="002F4DD8" w:rsidRDefault="002F4DD8" w:rsidP="002F4DD8">
      <w:pPr>
        <w:rPr>
          <w:b/>
          <w:bCs/>
        </w:rPr>
      </w:pPr>
      <w:r w:rsidRPr="002F4DD8">
        <w:rPr>
          <w:b/>
          <w:bCs/>
        </w:rPr>
        <w:t>Аптечную розницу могут ждать следующие новеллы:</w:t>
      </w:r>
    </w:p>
    <w:p w:rsidR="002F4DD8" w:rsidRPr="002F4DD8" w:rsidRDefault="002F4DD8" w:rsidP="002F4DD8">
      <w:r w:rsidRPr="002F4DD8">
        <w:t xml:space="preserve">расширяются требования к функционалу фармработника. Если сейчас он должен информировать покупателя "о рациональном применении лекарственных препаратов в целях ответственного самолечения", то – согласно правкам – фармработник будет давать развернутое фармацевтическое консультирование, включая выявление состояния и жалоб, требующих консультации врача, по правилам приема и режиму дозирования препаратов, их взаимодействию с пищей, хранению в домашних условиях, оказание информационно-консультационной помощи при выборе безрецептурных лекарственных препаратов и других товаров аптечного ассортимента, </w:t>
      </w:r>
      <w:r w:rsidRPr="002F4DD8">
        <w:lastRenderedPageBreak/>
        <w:t>а также правилам эксплуатации медицинских изделий в домашних условиях с учетом технической и эксплуатационной документации производителя (изготовителя) на медицинское изделие;</w:t>
      </w:r>
    </w:p>
    <w:p w:rsidR="002F4DD8" w:rsidRPr="002F4DD8" w:rsidRDefault="002F4DD8" w:rsidP="002F4DD8">
      <w:r w:rsidRPr="002F4DD8">
        <w:t>как и сейчас, будет допускаться открытая выкладка безрецептурных препаратов и других товаров аптечного ассортимента, но в будущем при этом должно быть обеспечено раздельное хранение лекарственных препаратов от товаров аптечного ассортимента;</w:t>
      </w:r>
    </w:p>
    <w:p w:rsidR="002F4DD8" w:rsidRPr="002F4DD8" w:rsidRDefault="002F4DD8" w:rsidP="002F4DD8">
      <w:r w:rsidRPr="002F4DD8">
        <w:t>при запросе препарата фармработник должен будет рассказать о диапазоне стоимости имеющихся в наличии взаимозаменяемых препаратов в рамках запрошенного МНН. Напомним, что сейчас фармработник не обязан это сообщать – ему лишь запрещено скрывать от покупателя данную информацию;</w:t>
      </w:r>
    </w:p>
    <w:p w:rsidR="002F4DD8" w:rsidRPr="002F4DD8" w:rsidRDefault="002F4DD8" w:rsidP="002F4DD8">
      <w:r w:rsidRPr="002F4DD8">
        <w:t>всяческие промоакции и иные услуги по продвижению товара и лояльности покупателей будут прямо запрещены в отношении препаратов (сейчас – только в отношении медизделий).</w:t>
      </w:r>
    </w:p>
    <w:p w:rsidR="002F4DD8" w:rsidRPr="002F4DD8" w:rsidRDefault="002F4DD8" w:rsidP="002F4DD8">
      <w:r w:rsidRPr="002F4DD8">
        <w:t xml:space="preserve">ГАРАНТ.РУ: </w:t>
      </w:r>
      <w:hyperlink r:id="rId22" w:anchor="ixzz5aYNm2dkO" w:history="1">
        <w:r w:rsidRPr="002F4DD8">
          <w:rPr>
            <w:rStyle w:val="a3"/>
          </w:rPr>
          <w:t>http://www.garant.ru/news/1234076/#ixzz5aYNm2dkO</w:t>
        </w:r>
      </w:hyperlink>
    </w:p>
    <w:p w:rsidR="002F4DD8" w:rsidRPr="002F4DD8" w:rsidRDefault="002F4DD8" w:rsidP="002F4DD8"/>
    <w:p w:rsidR="002F4DD8" w:rsidRPr="002F4DD8" w:rsidRDefault="002F4DD8" w:rsidP="002F4DD8">
      <w:pPr>
        <w:rPr>
          <w:b/>
          <w:bCs/>
          <w:u w:val="single"/>
        </w:rPr>
      </w:pPr>
      <w:r w:rsidRPr="002F4DD8">
        <w:rPr>
          <w:b/>
          <w:bCs/>
          <w:u w:val="single"/>
        </w:rPr>
        <w:t>Минтруд России подготовил 30 проектов профстандартов для врачей и медперсонала</w:t>
      </w:r>
    </w:p>
    <w:p w:rsidR="002F4DD8" w:rsidRPr="002F4DD8" w:rsidRDefault="002F4DD8" w:rsidP="002F4DD8">
      <w:r w:rsidRPr="002F4DD8">
        <w:t>18 декабря 2018</w:t>
      </w:r>
    </w:p>
    <w:p w:rsidR="002F4DD8" w:rsidRPr="002F4DD8" w:rsidRDefault="002F4DD8" w:rsidP="002F4DD8">
      <w:r w:rsidRPr="002F4DD8">
        <w:t>Минтруд России представил медицинской общественности сразу большой пул проектов профстандартов для врачей и среднего медицинского персонала:</w:t>
      </w:r>
    </w:p>
    <w:p w:rsidR="002F4DD8" w:rsidRPr="002F4DD8" w:rsidRDefault="002F4DD8" w:rsidP="002F4DD8">
      <w:r w:rsidRPr="002F4DD8">
        <w:t>врач ультразвуковой диагностики;</w:t>
      </w:r>
    </w:p>
    <w:p w:rsidR="002F4DD8" w:rsidRPr="002F4DD8" w:rsidRDefault="002F4DD8" w:rsidP="002F4DD8">
      <w:r w:rsidRPr="002F4DD8">
        <w:t>детский уролог-андролог;</w:t>
      </w:r>
    </w:p>
    <w:p w:rsidR="002F4DD8" w:rsidRPr="002F4DD8" w:rsidRDefault="002F4DD8" w:rsidP="002F4DD8">
      <w:r w:rsidRPr="002F4DD8">
        <w:t>врач общей практики (семейный врач);</w:t>
      </w:r>
    </w:p>
    <w:p w:rsidR="002F4DD8" w:rsidRPr="002F4DD8" w:rsidRDefault="002F4DD8" w:rsidP="002F4DD8">
      <w:r w:rsidRPr="002F4DD8">
        <w:t>врач по авиационной и космической медицине;</w:t>
      </w:r>
    </w:p>
    <w:p w:rsidR="002F4DD8" w:rsidRPr="002F4DD8" w:rsidRDefault="002F4DD8" w:rsidP="002F4DD8">
      <w:r w:rsidRPr="002F4DD8">
        <w:t>врач по рентгенэндоваскулярным диагностике и лечению;</w:t>
      </w:r>
    </w:p>
    <w:p w:rsidR="002F4DD8" w:rsidRPr="002F4DD8" w:rsidRDefault="002F4DD8" w:rsidP="002F4DD8">
      <w:r w:rsidRPr="002F4DD8">
        <w:t>гастроэнтеролог;</w:t>
      </w:r>
    </w:p>
    <w:p w:rsidR="002F4DD8" w:rsidRPr="002F4DD8" w:rsidRDefault="002F4DD8" w:rsidP="002F4DD8">
      <w:r w:rsidRPr="002F4DD8">
        <w:t>гематолог;</w:t>
      </w:r>
    </w:p>
    <w:p w:rsidR="002F4DD8" w:rsidRPr="002F4DD8" w:rsidRDefault="002F4DD8" w:rsidP="002F4DD8">
      <w:r w:rsidRPr="002F4DD8">
        <w:t>генетик;</w:t>
      </w:r>
    </w:p>
    <w:p w:rsidR="002F4DD8" w:rsidRPr="002F4DD8" w:rsidRDefault="002F4DD8" w:rsidP="002F4DD8">
      <w:r w:rsidRPr="002F4DD8">
        <w:t>детский гематолог-онколог;</w:t>
      </w:r>
    </w:p>
    <w:p w:rsidR="002F4DD8" w:rsidRPr="002F4DD8" w:rsidRDefault="002F4DD8" w:rsidP="002F4DD8">
      <w:r w:rsidRPr="002F4DD8">
        <w:t>диетолог;</w:t>
      </w:r>
    </w:p>
    <w:p w:rsidR="002F4DD8" w:rsidRPr="002F4DD8" w:rsidRDefault="002F4DD8" w:rsidP="002F4DD8">
      <w:r w:rsidRPr="002F4DD8">
        <w:t>колопроктолог;</w:t>
      </w:r>
    </w:p>
    <w:p w:rsidR="002F4DD8" w:rsidRPr="002F4DD8" w:rsidRDefault="002F4DD8" w:rsidP="002F4DD8">
      <w:r w:rsidRPr="002F4DD8">
        <w:t>пластический хирург;</w:t>
      </w:r>
    </w:p>
    <w:p w:rsidR="002F4DD8" w:rsidRPr="002F4DD8" w:rsidRDefault="002F4DD8" w:rsidP="002F4DD8">
      <w:r w:rsidRPr="002F4DD8">
        <w:t>профпатолог;</w:t>
      </w:r>
    </w:p>
    <w:p w:rsidR="002F4DD8" w:rsidRPr="002F4DD8" w:rsidRDefault="002F4DD8" w:rsidP="002F4DD8">
      <w:r w:rsidRPr="002F4DD8">
        <w:t>пульмонолог;</w:t>
      </w:r>
    </w:p>
    <w:p w:rsidR="002F4DD8" w:rsidRPr="002F4DD8" w:rsidRDefault="002F4DD8" w:rsidP="002F4DD8">
      <w:r w:rsidRPr="002F4DD8">
        <w:t>радиолог;</w:t>
      </w:r>
    </w:p>
    <w:p w:rsidR="002F4DD8" w:rsidRPr="002F4DD8" w:rsidRDefault="002F4DD8" w:rsidP="002F4DD8">
      <w:r w:rsidRPr="002F4DD8">
        <w:t>токсиколог;</w:t>
      </w:r>
    </w:p>
    <w:p w:rsidR="002F4DD8" w:rsidRPr="002F4DD8" w:rsidRDefault="002F4DD8" w:rsidP="002F4DD8">
      <w:r w:rsidRPr="002F4DD8">
        <w:t>трансфузиолог;</w:t>
      </w:r>
    </w:p>
    <w:p w:rsidR="002F4DD8" w:rsidRPr="002F4DD8" w:rsidRDefault="002F4DD8" w:rsidP="002F4DD8">
      <w:r w:rsidRPr="002F4DD8">
        <w:t>торакальный хирург;</w:t>
      </w:r>
    </w:p>
    <w:p w:rsidR="002F4DD8" w:rsidRPr="002F4DD8" w:rsidRDefault="002F4DD8" w:rsidP="002F4DD8">
      <w:r w:rsidRPr="002F4DD8">
        <w:lastRenderedPageBreak/>
        <w:t>челюстно-лицевой хирург;</w:t>
      </w:r>
    </w:p>
    <w:p w:rsidR="002F4DD8" w:rsidRPr="002F4DD8" w:rsidRDefault="002F4DD8" w:rsidP="002F4DD8">
      <w:r w:rsidRPr="002F4DD8">
        <w:t>эндоскопист;</w:t>
      </w:r>
    </w:p>
    <w:p w:rsidR="002F4DD8" w:rsidRPr="002F4DD8" w:rsidRDefault="002F4DD8" w:rsidP="002F4DD8">
      <w:r w:rsidRPr="002F4DD8">
        <w:t>эпидемиолог;</w:t>
      </w:r>
    </w:p>
    <w:p w:rsidR="002F4DD8" w:rsidRPr="002F4DD8" w:rsidRDefault="002F4DD8" w:rsidP="002F4DD8">
      <w:r w:rsidRPr="002F4DD8">
        <w:t>медицинский микробиолог;</w:t>
      </w:r>
    </w:p>
    <w:p w:rsidR="002F4DD8" w:rsidRPr="002F4DD8" w:rsidRDefault="002F4DD8" w:rsidP="002F4DD8">
      <w:r w:rsidRPr="002F4DD8">
        <w:t>медицинский физик;</w:t>
      </w:r>
    </w:p>
    <w:p w:rsidR="002F4DD8" w:rsidRPr="002F4DD8" w:rsidRDefault="002F4DD8" w:rsidP="002F4DD8">
      <w:r w:rsidRPr="002F4DD8">
        <w:t>медицинский психолог;</w:t>
      </w:r>
    </w:p>
    <w:p w:rsidR="002F4DD8" w:rsidRPr="002F4DD8" w:rsidRDefault="002F4DD8" w:rsidP="002F4DD8">
      <w:r w:rsidRPr="002F4DD8">
        <w:t>медицинская сестра по реабилитации;</w:t>
      </w:r>
    </w:p>
    <w:p w:rsidR="002F4DD8" w:rsidRPr="002F4DD8" w:rsidRDefault="002F4DD8" w:rsidP="002F4DD8">
      <w:r w:rsidRPr="002F4DD8">
        <w:t>медицинская сестра-анестезист;</w:t>
      </w:r>
    </w:p>
    <w:p w:rsidR="002F4DD8" w:rsidRPr="002F4DD8" w:rsidRDefault="002F4DD8" w:rsidP="002F4DD8">
      <w:r w:rsidRPr="002F4DD8">
        <w:t>нейропсихолог;</w:t>
      </w:r>
    </w:p>
    <w:p w:rsidR="002F4DD8" w:rsidRPr="002F4DD8" w:rsidRDefault="002F4DD8" w:rsidP="002F4DD8">
      <w:r w:rsidRPr="002F4DD8">
        <w:t>рентгенолаборант;</w:t>
      </w:r>
    </w:p>
    <w:p w:rsidR="002F4DD8" w:rsidRPr="002F4DD8" w:rsidRDefault="002F4DD8" w:rsidP="002F4DD8">
      <w:r w:rsidRPr="002F4DD8">
        <w:t>специалист по гигиене;</w:t>
      </w:r>
    </w:p>
    <w:p w:rsidR="002F4DD8" w:rsidRPr="002F4DD8" w:rsidRDefault="002F4DD8" w:rsidP="002F4DD8">
      <w:r w:rsidRPr="002F4DD8">
        <w:t>специалист по судебно-медицинской экспертизе со средним медицинским образованием.</w:t>
      </w:r>
    </w:p>
    <w:p w:rsidR="002F4DD8" w:rsidRPr="002F4DD8" w:rsidRDefault="002F4DD8" w:rsidP="002F4DD8">
      <w:r w:rsidRPr="002F4DD8">
        <w:t>Профстандарты формулируют минимальный образовательный ценз, которому должен соответствовать специалист, а также детально описывает трудовые функции специалиста.</w:t>
      </w:r>
    </w:p>
    <w:p w:rsidR="002F4DD8" w:rsidRPr="002F4DD8" w:rsidRDefault="002F4DD8" w:rsidP="002F4DD8">
      <w:r w:rsidRPr="002F4DD8">
        <w:t xml:space="preserve">ГАРАНТ.РУ: </w:t>
      </w:r>
      <w:hyperlink r:id="rId23" w:anchor="ixzz5aY7QIgj1" w:history="1">
        <w:r w:rsidRPr="002F4DD8">
          <w:rPr>
            <w:rStyle w:val="a3"/>
          </w:rPr>
          <w:t>http://www.garant.ru/news/1234167/#ixzz5aY7QIgj1</w:t>
        </w:r>
      </w:hyperlink>
    </w:p>
    <w:p w:rsidR="002F4DD8" w:rsidRPr="002F4DD8" w:rsidRDefault="002F4DD8" w:rsidP="002F4DD8"/>
    <w:p w:rsidR="002F4DD8" w:rsidRPr="002F4DD8" w:rsidRDefault="002F4DD8" w:rsidP="002F4DD8">
      <w:pPr>
        <w:rPr>
          <w:b/>
          <w:bCs/>
          <w:u w:val="single"/>
        </w:rPr>
      </w:pPr>
      <w:r w:rsidRPr="002F4DD8">
        <w:rPr>
          <w:b/>
          <w:bCs/>
          <w:u w:val="single"/>
        </w:rPr>
        <w:t>C 18 декабря расширен перечень разрешенных валютных операций между резидентами</w:t>
      </w:r>
    </w:p>
    <w:p w:rsidR="002F4DD8" w:rsidRPr="002F4DD8" w:rsidRDefault="002F4DD8" w:rsidP="002F4DD8">
      <w:r w:rsidRPr="002F4DD8">
        <w:t>18 декабря 2018</w:t>
      </w:r>
    </w:p>
    <w:p w:rsidR="002F4DD8" w:rsidRPr="002F4DD8" w:rsidRDefault="002F4DD8" w:rsidP="002F4DD8">
      <w:r w:rsidRPr="002F4DD8">
        <w:t>Расширен перечень разрешенных валютных операций между резидентами, предусмотренный ч. 1 ст. 9 Федерального закона от 10 декабря 2003 г. № 173-ФЗ "О валютном регулировании и валютном контроле" (Федеральный закон от 18 декабря 2018 г. № 474-ФЗ).</w:t>
      </w:r>
    </w:p>
    <w:p w:rsidR="002F4DD8" w:rsidRPr="002F4DD8" w:rsidRDefault="002F4DD8" w:rsidP="002F4DD8">
      <w:r w:rsidRPr="002F4DD8">
        <w:t>Теперь у резидентов появилась возможность осуществлять также:</w:t>
      </w:r>
    </w:p>
    <w:p w:rsidR="002F4DD8" w:rsidRPr="002F4DD8" w:rsidRDefault="002F4DD8" w:rsidP="002F4DD8">
      <w:r w:rsidRPr="002F4DD8">
        <w:t>- валютные операции с внешними ценными бумагами, если расчеты осуществляются по итогам клиринга;</w:t>
      </w:r>
    </w:p>
    <w:p w:rsidR="002F4DD8" w:rsidRPr="002F4DD8" w:rsidRDefault="002F4DD8" w:rsidP="002F4DD8">
      <w:r w:rsidRPr="002F4DD8">
        <w:t>- валютные операции, связанные с исполнением и (или) прекращением договора репо, если одной из сторон является уполномоченный банк или профессиональный участник рынка ценных бумаг.</w:t>
      </w:r>
    </w:p>
    <w:p w:rsidR="002F4DD8" w:rsidRPr="002F4DD8" w:rsidRDefault="002F4DD8" w:rsidP="002F4DD8">
      <w:r w:rsidRPr="002F4DD8">
        <w:t>Изменения вступили в силу 18 декабря 2018 года.</w:t>
      </w:r>
    </w:p>
    <w:p w:rsidR="002F4DD8" w:rsidRPr="002F4DD8" w:rsidRDefault="002F4DD8" w:rsidP="002F4DD8">
      <w:r w:rsidRPr="002F4DD8">
        <w:t xml:space="preserve">ГАРАНТ.РУ: </w:t>
      </w:r>
      <w:hyperlink r:id="rId24" w:anchor="ixzz5aY5lVrOu" w:history="1">
        <w:r w:rsidRPr="002F4DD8">
          <w:rPr>
            <w:rStyle w:val="a3"/>
          </w:rPr>
          <w:t>http://www.garant.ru/news/1234500/#ixzz5aY5lVrOu</w:t>
        </w:r>
      </w:hyperlink>
    </w:p>
    <w:p w:rsidR="002F4DD8" w:rsidRPr="002F4DD8" w:rsidRDefault="002F4DD8" w:rsidP="002F4DD8"/>
    <w:p w:rsidR="002F4DD8" w:rsidRPr="002F4DD8" w:rsidRDefault="002F4DD8" w:rsidP="002F4DD8">
      <w:pPr>
        <w:rPr>
          <w:b/>
          <w:bCs/>
          <w:u w:val="single"/>
        </w:rPr>
      </w:pPr>
      <w:r w:rsidRPr="002F4DD8">
        <w:rPr>
          <w:b/>
          <w:bCs/>
          <w:u w:val="single"/>
        </w:rPr>
        <w:t>Будет ли введен мораторий на поправки в ПДД?</w:t>
      </w:r>
    </w:p>
    <w:p w:rsidR="002F4DD8" w:rsidRPr="002F4DD8" w:rsidRDefault="002F4DD8" w:rsidP="002F4DD8">
      <w:r w:rsidRPr="002F4DD8">
        <w:t>17 декабря 2018</w:t>
      </w:r>
    </w:p>
    <w:p w:rsidR="002F4DD8" w:rsidRPr="002F4DD8" w:rsidRDefault="002F4DD8" w:rsidP="002F4DD8">
      <w:r w:rsidRPr="002F4DD8">
        <w:t xml:space="preserve">Недавно в СМИ появилась информация о планах ГИБДД ввести мораторий на внесение изменений в Правила дорожного движения: ведомство решило временно не инициировать поправки в Правила. Мотив – правила меняются слишком часто и население не успевает </w:t>
      </w:r>
      <w:r w:rsidRPr="002F4DD8">
        <w:lastRenderedPageBreak/>
        <w:t>отслеживать изменения. И действительно, документ, от четкого понимания и исполнения которого зависит безопасность миллионов граждан, правится с космической скоростью: только за первые две недели декабря правила изменились 2 раза.</w:t>
      </w:r>
    </w:p>
    <w:p w:rsidR="002F4DD8" w:rsidRPr="002F4DD8" w:rsidRDefault="002F4DD8" w:rsidP="002F4DD8">
      <w:r w:rsidRPr="002F4DD8">
        <w:t xml:space="preserve">ГАРАНТ.РУ: </w:t>
      </w:r>
      <w:hyperlink r:id="rId25" w:anchor="ixzz5aYRVdWeu" w:history="1">
        <w:r w:rsidRPr="002F4DD8">
          <w:rPr>
            <w:rStyle w:val="a3"/>
          </w:rPr>
          <w:t>http://www.garant.ru/news/1233843/#ixzz5aYRVdWeu</w:t>
        </w:r>
      </w:hyperlink>
    </w:p>
    <w:p w:rsidR="002F4DD8" w:rsidRPr="002F4DD8" w:rsidRDefault="002F4DD8" w:rsidP="002F4DD8"/>
    <w:p w:rsidR="002F4DD8" w:rsidRPr="002F4DD8" w:rsidRDefault="002F4DD8" w:rsidP="002F4DD8">
      <w:pPr>
        <w:rPr>
          <w:b/>
          <w:bCs/>
          <w:u w:val="single"/>
        </w:rPr>
      </w:pPr>
      <w:r w:rsidRPr="002F4DD8">
        <w:rPr>
          <w:b/>
          <w:bCs/>
          <w:u w:val="single"/>
        </w:rPr>
        <w:t>Подготовлен проект профстандарта руководителя медорганизации</w:t>
      </w:r>
    </w:p>
    <w:p w:rsidR="002F4DD8" w:rsidRPr="002F4DD8" w:rsidRDefault="002F4DD8" w:rsidP="002F4DD8">
      <w:r w:rsidRPr="002F4DD8">
        <w:t>17 декабря 2018</w:t>
      </w:r>
    </w:p>
    <w:p w:rsidR="002F4DD8" w:rsidRPr="002F4DD8" w:rsidRDefault="002F4DD8" w:rsidP="002F4DD8">
      <w:r w:rsidRPr="002F4DD8">
        <w:t>Минтруд России представил проект профессионального стандарта для ключевой фигуры медицинской организации (МО).</w:t>
      </w:r>
    </w:p>
    <w:p w:rsidR="002F4DD8" w:rsidRPr="002F4DD8" w:rsidRDefault="002F4DD8" w:rsidP="002F4DD8">
      <w:r w:rsidRPr="002F4DD8">
        <w:t>Согласно проекту руководитель МО должен иметь:</w:t>
      </w:r>
    </w:p>
    <w:p w:rsidR="002F4DD8" w:rsidRPr="002F4DD8" w:rsidRDefault="002F4DD8" w:rsidP="002F4DD8">
      <w:r w:rsidRPr="002F4DD8">
        <w:t>во-первых, высшее образование – бакалавриат/специалитет, и – обязательно – магистратуру по "Общественному здравоохранению";</w:t>
      </w:r>
    </w:p>
    <w:p w:rsidR="002F4DD8" w:rsidRPr="002F4DD8" w:rsidRDefault="002F4DD8" w:rsidP="002F4DD8">
      <w:r w:rsidRPr="002F4DD8">
        <w:t>во-вторых, не менее 2 лет опыта практической работы направлению деятельности в медицинской организации.</w:t>
      </w:r>
    </w:p>
    <w:p w:rsidR="002F4DD8" w:rsidRPr="002F4DD8" w:rsidRDefault="002F4DD8" w:rsidP="002F4DD8">
      <w:r w:rsidRPr="002F4DD8">
        <w:t>Трудовые функции:</w:t>
      </w:r>
    </w:p>
    <w:p w:rsidR="002F4DD8" w:rsidRPr="002F4DD8" w:rsidRDefault="002F4DD8" w:rsidP="002F4DD8">
      <w:r w:rsidRPr="002F4DD8">
        <w:t>управление процессами информационно-справочного сопровождения пациентов и формирования баз данных;</w:t>
      </w:r>
    </w:p>
    <w:p w:rsidR="002F4DD8" w:rsidRPr="002F4DD8" w:rsidRDefault="002F4DD8" w:rsidP="002F4DD8">
      <w:r w:rsidRPr="002F4DD8">
        <w:t>менеджмент процессов прикрепления и открепления пациентов к МО;</w:t>
      </w:r>
    </w:p>
    <w:p w:rsidR="002F4DD8" w:rsidRPr="002F4DD8" w:rsidRDefault="002F4DD8" w:rsidP="002F4DD8">
      <w:r w:rsidRPr="002F4DD8">
        <w:t>разработка, внедрение и совершенствование системы менеджмента качества в медицинской организации;</w:t>
      </w:r>
    </w:p>
    <w:p w:rsidR="002F4DD8" w:rsidRPr="002F4DD8" w:rsidRDefault="002F4DD8" w:rsidP="002F4DD8">
      <w:r w:rsidRPr="002F4DD8">
        <w:t>оценка и прогноз состояния здоровья на</w:t>
      </w:r>
      <w:bookmarkStart w:id="0" w:name="_GoBack"/>
      <w:bookmarkEnd w:id="0"/>
      <w:r w:rsidRPr="002F4DD8">
        <w:t>селения с учетом социальных детерминант и факторов риска заболеваний;</w:t>
      </w:r>
    </w:p>
    <w:p w:rsidR="002F4DD8" w:rsidRPr="002F4DD8" w:rsidRDefault="002F4DD8" w:rsidP="002F4DD8">
      <w:r w:rsidRPr="002F4DD8">
        <w:t>планирование, реализация и оценка мероприятий и программ по профилактике заболеваний и укреплению здоровья населения;</w:t>
      </w:r>
    </w:p>
    <w:p w:rsidR="002F4DD8" w:rsidRPr="002F4DD8" w:rsidRDefault="002F4DD8" w:rsidP="002F4DD8">
      <w:r w:rsidRPr="002F4DD8">
        <w:t>информирование и обучение населения по вопросам профилактики заболеваний и укрепления здоровья;</w:t>
      </w:r>
    </w:p>
    <w:p w:rsidR="002F4DD8" w:rsidRPr="002F4DD8" w:rsidRDefault="002F4DD8" w:rsidP="002F4DD8">
      <w:r w:rsidRPr="002F4DD8">
        <w:t>организация планирования деятельности МО, включая ФЭД, анализ ее эффективности;</w:t>
      </w:r>
    </w:p>
    <w:p w:rsidR="002F4DD8" w:rsidRPr="002F4DD8" w:rsidRDefault="002F4DD8" w:rsidP="002F4DD8">
      <w:r w:rsidRPr="002F4DD8">
        <w:t>обеспечение закупок для муниципальных, корпоративных и госнужд МО;</w:t>
      </w:r>
    </w:p>
    <w:p w:rsidR="002F4DD8" w:rsidRPr="002F4DD8" w:rsidRDefault="002F4DD8" w:rsidP="002F4DD8">
      <w:r w:rsidRPr="002F4DD8">
        <w:t>стратегическое планирование и прогнозирование деятельности МО.</w:t>
      </w:r>
    </w:p>
    <w:p w:rsidR="002F4DD8" w:rsidRPr="002F4DD8" w:rsidRDefault="002F4DD8" w:rsidP="002F4DD8">
      <w:r w:rsidRPr="002F4DD8">
        <w:t xml:space="preserve">ГАРАНТ.РУ: </w:t>
      </w:r>
      <w:hyperlink r:id="rId26" w:anchor="ixzz5aY7t54wW" w:history="1">
        <w:r w:rsidRPr="002F4DD8">
          <w:rPr>
            <w:rStyle w:val="a3"/>
          </w:rPr>
          <w:t>http://www.garant.ru/news/1233866/#ixzz5aY7t54wW</w:t>
        </w:r>
      </w:hyperlink>
    </w:p>
    <w:p w:rsidR="002F4DD8" w:rsidRPr="002F4DD8" w:rsidRDefault="002F4DD8" w:rsidP="002F4DD8"/>
    <w:p w:rsidR="0028657A" w:rsidRDefault="0028657A"/>
    <w:sectPr w:rsidR="00286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7E"/>
    <w:rsid w:val="0028657A"/>
    <w:rsid w:val="002F4DD8"/>
    <w:rsid w:val="0032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30D0-4B16-467D-A9E1-DA71F736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34603/" TargetMode="External"/><Relationship Id="rId13" Type="http://schemas.openxmlformats.org/officeDocument/2006/relationships/hyperlink" Target="http://www.garant.ru/news/1234498/" TargetMode="External"/><Relationship Id="rId18" Type="http://schemas.openxmlformats.org/officeDocument/2006/relationships/hyperlink" Target="http://www.garant.ru/news/1234260/" TargetMode="External"/><Relationship Id="rId26" Type="http://schemas.openxmlformats.org/officeDocument/2006/relationships/hyperlink" Target="http://www.garant.ru/news/1233866/" TargetMode="External"/><Relationship Id="rId3" Type="http://schemas.openxmlformats.org/officeDocument/2006/relationships/webSettings" Target="webSettings.xml"/><Relationship Id="rId21" Type="http://schemas.openxmlformats.org/officeDocument/2006/relationships/hyperlink" Target="http://www.garant.ru/news/1233992/" TargetMode="External"/><Relationship Id="rId7" Type="http://schemas.openxmlformats.org/officeDocument/2006/relationships/hyperlink" Target="http://www.garant.ru/news/1234608/" TargetMode="External"/><Relationship Id="rId12" Type="http://schemas.openxmlformats.org/officeDocument/2006/relationships/hyperlink" Target="http://www.garant.ru/news/1234503/" TargetMode="External"/><Relationship Id="rId17" Type="http://schemas.openxmlformats.org/officeDocument/2006/relationships/hyperlink" Target="http://www.garant.ru/news/1234355/" TargetMode="External"/><Relationship Id="rId25" Type="http://schemas.openxmlformats.org/officeDocument/2006/relationships/hyperlink" Target="http://www.garant.ru/news/1233843/" TargetMode="External"/><Relationship Id="rId2" Type="http://schemas.openxmlformats.org/officeDocument/2006/relationships/settings" Target="settings.xml"/><Relationship Id="rId16" Type="http://schemas.openxmlformats.org/officeDocument/2006/relationships/hyperlink" Target="http://www.garant.ru/news/1234479/" TargetMode="External"/><Relationship Id="rId20" Type="http://schemas.openxmlformats.org/officeDocument/2006/relationships/hyperlink" Target="http://www.garant.ru/news/1234194/" TargetMode="External"/><Relationship Id="rId1" Type="http://schemas.openxmlformats.org/officeDocument/2006/relationships/styles" Target="styles.xml"/><Relationship Id="rId6" Type="http://schemas.openxmlformats.org/officeDocument/2006/relationships/hyperlink" Target="http://www.garant.ru/news/1234614/" TargetMode="External"/><Relationship Id="rId11" Type="http://schemas.openxmlformats.org/officeDocument/2006/relationships/hyperlink" Target="http://www.garant.ru/news/1234513/" TargetMode="External"/><Relationship Id="rId24" Type="http://schemas.openxmlformats.org/officeDocument/2006/relationships/hyperlink" Target="http://www.garant.ru/news/1234500/" TargetMode="External"/><Relationship Id="rId5" Type="http://schemas.openxmlformats.org/officeDocument/2006/relationships/hyperlink" Target="http://www.garant.ru/news/1234605/" TargetMode="External"/><Relationship Id="rId15" Type="http://schemas.openxmlformats.org/officeDocument/2006/relationships/hyperlink" Target="http://www.garant.ru/news/1234353/" TargetMode="External"/><Relationship Id="rId23" Type="http://schemas.openxmlformats.org/officeDocument/2006/relationships/hyperlink" Target="http://www.garant.ru/news/1234167/" TargetMode="External"/><Relationship Id="rId28" Type="http://schemas.openxmlformats.org/officeDocument/2006/relationships/theme" Target="theme/theme1.xml"/><Relationship Id="rId10" Type="http://schemas.openxmlformats.org/officeDocument/2006/relationships/hyperlink" Target="http://www.garant.ru/news/1234516/" TargetMode="External"/><Relationship Id="rId19" Type="http://schemas.openxmlformats.org/officeDocument/2006/relationships/hyperlink" Target="http://www.garant.ru/news/1234220/" TargetMode="External"/><Relationship Id="rId4" Type="http://schemas.openxmlformats.org/officeDocument/2006/relationships/hyperlink" Target="http://www.garant.ru/news/1234618/" TargetMode="External"/><Relationship Id="rId9" Type="http://schemas.openxmlformats.org/officeDocument/2006/relationships/hyperlink" Target="http://www.garant.ru/news/1234521/" TargetMode="External"/><Relationship Id="rId14" Type="http://schemas.openxmlformats.org/officeDocument/2006/relationships/hyperlink" Target="http://www.garant.ru/news/1234388/" TargetMode="External"/><Relationship Id="rId22" Type="http://schemas.openxmlformats.org/officeDocument/2006/relationships/hyperlink" Target="http://www.garant.ru/news/123407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7189</Words>
  <Characters>40981</Characters>
  <Application>Microsoft Office Word</Application>
  <DocSecurity>0</DocSecurity>
  <Lines>341</Lines>
  <Paragraphs>96</Paragraphs>
  <ScaleCrop>false</ScaleCrop>
  <Company/>
  <LinksUpToDate>false</LinksUpToDate>
  <CharactersWithSpaces>48074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2018-12-24T06:20:00Z</dcterms:created>
  <dcterms:modified xsi:type="dcterms:W3CDTF">2018-12-24T06:21:00Z</dcterms:modified>
</cp:coreProperties>
</file>