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ПФР планирует утвердить новые формы персонифицированного учета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26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Предлагается заново утвердить 4 формы представления в ПФР сведений для индивидуального (персонифицированного) учета:</w:t>
      </w:r>
    </w:p>
    <w:p w:rsidR="001A5C91" w:rsidRPr="001A5C91" w:rsidRDefault="001A5C91" w:rsidP="001A5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сведения о страховом стаже застрахованных лиц (форма СЗВ-СТАЖ);</w:t>
      </w:r>
    </w:p>
    <w:p w:rsidR="001A5C91" w:rsidRPr="001A5C91" w:rsidRDefault="001A5C91" w:rsidP="001A5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сведения по страхователю, которые передаются в ПФР для ведения индивидуального (персонифицированного) учета (форма ОДВ-1);</w:t>
      </w:r>
    </w:p>
    <w:p w:rsidR="001A5C91" w:rsidRPr="001A5C91" w:rsidRDefault="001A5C91" w:rsidP="001A5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данные о корректировке сведений на лицевом счете застрахованного лица (форма СЗВ-КОРР);</w:t>
      </w:r>
    </w:p>
    <w:p w:rsidR="001A5C91" w:rsidRPr="001A5C91" w:rsidRDefault="001A5C91" w:rsidP="001A5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(форма СЗВ-ИСХ).</w:t>
      </w:r>
    </w:p>
    <w:p w:rsidR="001A5C91" w:rsidRPr="001A5C91" w:rsidRDefault="001A5C91" w:rsidP="001A5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Будут утверждены их электронные форматы и правила заполнения (проект постановления ПРФ).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Сведения о доходе, вознаграждениях в пользу застрахованного лица, страховых взносах будут вноситься на основании данных бухучета, сведения о периоде работы застрахованного лица – на основании документов кадрового учета страхователя.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4" w:anchor="ixzz5VGYsSPfN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http://www.garant.ru/news/1225694/#ixzz5VGYsSPfN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ФФОМС России: в получении полиса ОМС нового образца строго до 1 ноября нет необходимости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26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Фонд опроверг появившуюся сегодня информацию о том, что указанные полисы в обязательном порядке необходимо поменять до 1 ноября текущего года. ФФОМС России пояснил, что оснований для их внеплановой замены нет, тем более эти полисы являются бессрочными и позволяют получать медицинскую помощь в рамках государственной программы ОМС на территории всей страны.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Граждане могут получить полис нового образца по собственному желанию, обратившись в свою страховую организацию. В случае неудовлетворенности работой выбранной организации гражданин может подать заявление в любую другую выбранную им страховую организацию. Причем это можно сделать до 1 ноября.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5" w:anchor="ixzz5VGi9hBOi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http://www.garant.ru/news/1225723/#ixzz5VGi9hBOi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Минтруд России уточнил свои планы по введению электронного кадрового документооборота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26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Минтруд России рассчитывает на принятие в 2019 году поправок в Трудовой кодекс, устанавливающих возможность ведения трудовых книжек в электронной форме. По планам ведомства, работники получат возможность видеть в информационной системе в любое время записи, которые производит работодатель, а также направлять свои данные в электронном виде работодателю, например, при трудоустройстве, в том числе для работы дистанционно в другой местности (информация Минтруда России от 19 октября 2018 г.).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Упомянул Минтруд России и о работе над переводом в цифровой формат ведения других обязательных кадровых документов – трудовых договоров, документов по охране труда, табелей учета рабочего времени, командировочных и отпускных </w:t>
      </w: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>документов. Чиновники напомнили о проведенном для этих цель эксперименте в ряде крупных компаний. Ссылаясь на его результаты, в ведомстве полагают, что предварительно должны быть приняты решения в IT-сфере, касающиеся электронной цифровой подписи, архивного хранения данных, защиты передачи данных, юридической значимости электронных документов, в том числе в судебных спорах. Принятие нормативных актов, которые должны обеспечить должное регулирование в данной сфере, запланировано на конец этого – начало следующего года. Принятие же самого законопроекта об электронного кадровом документообороте Минтруд России запланировал на 2021 год.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6" w:anchor="ixzz5VGl4TJx8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http://www.garant.ru/news/1225702/#ixzz5VGl4TJx8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Банк России сохранил ключевую ставку на уровне 7,5%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26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Регулятор принял решение не менять размер ключевой ставки, применяемый с 17 сентября текущего года. Банк объяснил свою позицию стабилизацией ситуации на внутреннем финансовом рынке, возвращением размера годовой инфляции к прогнозным 4%. По итогам следующего года инфляция может составить 5–5,5% при том, что ценовые ожидания предприятий останутся на повышенном уровне в связи ослаблением рубля с начала года и предстоящим повышением НДС. 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Банк России принял решение о повышении ключевой ставки с 7,25% до действующего размера 14 сентября текущего года. Причем она была определена в размере 7,25% 23 марта этого года, а после сохранялась 27 апреля, 15 июня и 27 июля. В следующий раз Совет директоров Банка России рассмотрит вопрос об уровне ключевой ставки 14 декабря текущего года.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7" w:anchor="ixzz5VGm1DyJE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http://www.garant.ru/news/1225651/#ixzz5VGm1DyJE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Банк России представил обновленный проект положения об общих собраниях акционеров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26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Банк России представил на независимую антикоррупционную экспертизу обновленный проект положения, которое должно будет заменить Положение о дополнительных требованиях к порядку подготовки, созыва и проведения общего собрания акционеров.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Представленный вариант отличается от предыдущего незначительно.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В обновленный вариант проекта не вошло положение, предусматривающее, что предложения в повестку дня общего собрания и требования о проведении внеочередного общего собрания, внесенные (представленные) установленными способами, считаются поступившими (доставленными) и в тех случаях, когда они поступили в общество, но по зависящим от него обстоятельствам не были вручены или общество не ознакомилось с ними. Ранее разработчики намеревались закрепить в нем такое правило.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Не попало в обновленный текст проекта и положение о том, что определение места проведения общего собрания должно осуществляться с учетом необходимости обеспечения всем акционерам равной возможности реализовать свое право на участие в управлении обществом. Хотя ранее предусмотреть его планировалось.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В обновленном тексте проекта скорректированы положения, касающиеся предоставления обществом для ознакомления списка лиц, имеющих право на участие в общем собрании акционеров, и его копии по требованию лиц, включенных </w:t>
      </w: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>в этот список и обладающих не менее чем 1% голосов по любому из вопросов повестки дня общего собрания.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Уточнено, что предоставление такого списка (его копии) осуществляется по требованию, поступившему в общество не позднее даты проведения следующего за общим собранием годового общего собрания.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Изменен (по сравнению с предыдущим вариантом) пункт проекта, устанавливающий дополнительные требования к содержанию протокола общего собрания, протокола счетной комиссии об итогах голосования на общем собрании и отчете об итогах голосования, если в повестку дня включен вопрос о согласии на совершение обществом сделки, в совершении которой имеется заинтересованность. Проектом предусмотрено, что в этом случае в них должно быть указано: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число голосов, которыми по указанному вопросу обладали лица, не заинтересованные в совершении обществом сделки, принявшие участие в общем собрании;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число голосов, отданных по указанному вопросу за каждый из вариантов голосования ("за", "против" и "воздержался").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8" w:anchor="ixzz5VGmxgdg8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http://www.garant.ru/news/1225630/#ixzz5VGmxgdg8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МВД России подготовило чек-листы для миграционных проверок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26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МВД России разместило на Федеральном портале проектов нормативных актов форму проверочного листа (списка контрольных вопросов), которую планируется применять при осуществлении федерального государственного контроля (надзора) в сфере миграции.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Отдельные группы вопросов подготовлены для оценки соблюдения работодателем требований миграционного законодательства при привлечении к трудовой деятельности иностранных граждан и лиц без гражданства: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прибывших на территорию РФ в порядке, требующем получения визы;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прибывших на территорию РФ в порядке, не требующем получения визы;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являющихся гражданами государства – члена ЕАЭС.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9" w:anchor="ixzz5VGoieVf5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http://www.garant.ru/news/1225628/#ixzz5VGoieVf5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Установлены условия, при которых управляющая компания может оставить себе сумму экономии, полученной в результате управления МКД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25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24 октября 2018 года вступили в силу поправки к 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(далее – Правила), утвержденным постановлением Правительства РФ от 13 августа 2006 г. № 491. Новая редакция Правил устанавливает условия, при которых управляющая организация (УК) может оставить себе сумму экономии, полученной по итогам периода управления МКД (постановление Правительства РФ от 12 октября 2018 г. № 1221).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Такую экономию (то есть разницу между тем, что УК фактически истратила за период управления, и тем, что "закладывалось" в расчет платы за содержание жилья) управляющая организация может оставить себе только в случае, если одновременно: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экономия подтверждается отчетом УК о выполнении договора управления МКД;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>услуги и работы по управлению МКД и содержанию и ремонту общего имущества МКД (указанные в договоре управления) действительно оказывались;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эти услуги были оказаны качественно;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причем качество этих услуг подтверждено в порядке, установленном Правительством РФ (п. 12 ст. 162 Жилищного кодекса).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Вопрос о том, как именно подтверждать качество работы УК, и решен свежими поправками. Качество считается ненадлежащим, если о ненадлежащем качестве таких услуг/работ в период, за который представлен отчет, составлялся акт нарушения качества или превышения установленной продолжительности перерыва в оказании услуг или выполнении работ.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Если такие акты не составлялись – качество услуг считается надлежащим, а УК может забрать экономию себе, если, конечно, договором управления МКД не предусмотрено иное предназначение сэкономленных денег.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0" w:anchor="ixzz5VGzl80pl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http://www.garant.ru/news/1225436/#ixzz5VGzl80pl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Рекламу инструкций по искажению данных счетчиков коммунальных ресурсов могут запретить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25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Группа депутатов Госдумы предложила расширить перечень услуг, реклама которых не допускается. В него планируется включить информационные услуги о способах и методах искажения данных учета потребления коммунальных ресурсов. Речь идет, к примеру, об инструкциях по воздействию на счетчики, направленному на уменьшение показателей потребленных ресурсов. В этих целях ст. 7 Федерального закона от 13 марта 2006 г. № 38-ФЗ "О рекламе" предполагается дополнить новым п. 101.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Необходимость запрета упомянутой рекламы объясняется тем, что даже если индивидуальные приборы учета вследствие какого-либо воздействия не фиксируют расход коммунальных ресурсов, потом фактически потребленнные газ, тепло, вода и электроэнергии оплачиваются в составе расходов на оплату услух ЖКХ, необходимых для использования и содержания общего имущества в многоквартирном доме. В результате добросовестные жильцы дома вынуждены оплачивать коммунальные ресурсы, которыми они не пользовались.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1" w:anchor="ixzz5VH0QWgeZ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http://www.garant.ru/news/1225466/#ixzz5VH0QWgeZ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Все новые пассажирские самолеты в будущем будут оснащены оборудованием для инвалидов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25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Минтранс России определил, какое оснащение обязательно должно быть для инвалидов в воздушных судах отечественного и зарубежного производства. Так, если типовой конструкцией воздушного судна будет предусмотрено наличие туалетов, то хотя бы один из них должен быть приспособлен для пассажиров-инвалидов и лиц с ограничениями жизнедеятельности. При этом перед его дверью обязательно предусмотрят место для разворота кресла-коляски, на покрытии пола в салоне не будет бликов, а устройство освещения на борту станет работать без резких перепадов интенсивности. Исключением из последнего правила станут лампочки для чтения и другие осветительные устройства, управляемые пассажиром (приказ Минтранса России от 2 августа 2018 г. № 290 "Об утверждении Требований к оснащению воздушных судов техническими средствами и оборудованием, </w:t>
      </w: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>обеспечивающими доступность воздушных судов для пассажиров из числа инвалидов и других лиц с ограничениями жизнедеятельности").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Будет установлено правило, что ряды пассажирских кресел в новых самолетах обозначат тактильной маркировкой, причем не менее половины от общего числа кресел в салоне будут с подвижными (опускающимися или поднимающимися) со стороны прохода подлокотниками. Новые требования вступят в силу 1 января 2020 года и станут применяться в отношении самолетов, изготовленных и поставленных по договорам, заключенным после этой даты.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Росавиация объявила о планах сделать пассажирские авиаперевозки на Дальний Восток и в Крым субсидируемыми в течение всего года.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2" w:anchor="ixzz5VGx2eHWF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http://www.garant.ru/news/1225593/#ixzz5VGx2eHWF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Минздрав России предложил создать Центры амбулаторной онкологической помощи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24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Минздрав России подготовил поправки в Порядок оказания медицинской помощи населению по профилю "онкология". Поправки предусматривают возможность создания Центров амбулаторной онкологической помощи на базе медорганизаций, оказывающих первичную специализированную медико-санитарную помощь.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Такие центры можно организовывать только в "обеспеченных" медучреждениях – то есть если в пределах имущественного комплекса, функционально и технологически (в одном или нескольких зданиях, объединенных теплыми переходами) объединенных с будущим Центром, есть рентгенкабинеты (для рентгена легких, маммографии и КТ), эндоскопический кабинет; кабинеты УЗИ и ФД, а также клинико-диагностическая лаборатория.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Медорганизация, на базе которой создается Центр, должна оказывать консультативную помощь по целому ряду профилей, в том числе по паллиативной медицине, колопроктологии, пульмонологии и т. п. Правда, если собственных врачей нет, допускается их привлекать по договору из других медорганизаций, у которых есть лицензии на соответствующие работы (услуги).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Главная задача Центра – оказывать помощь амбулаторно и в условиях дневного стационара. Центр, по замыслу Минздрава России, будет выписывать рецепты на лекарства, в том числе наркотические.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Специалисты Центра будут проводить анализ и разбор диагностических ошибок и причин запущенности онкологических заболеваний с врачами-терапевтами и другими специалистами. Еще одна функция – анализ качества и своевременности заполнения "Протокола на случай выявления у больного запущенной формы злокачественного новообразования", а также анализ случаев смерти в течение первого года с момента установления диагноза онкологического заболевания.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Проект поправок содержит также рекомендуемые штатные нормативы Центра и стандарт его оснащения.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3" w:anchor="ixzz5VH12uERj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http://www.garant.ru/news/1225402/#ixzz5VH12uERj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Минтранс России уточнил, как рассчитывается норма расхода топлива для легковых автомобилей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24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Примерная форма приказа об утверждении норм расхода топлив и смазочных материалов 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>Внесены изменения в Нормы расхода топлив и смазочных материалов на автомобильном транспорте, введенные в действие распоряжением Минтранса России от 14 марта 2008 г. № АМ-23-р. Уточнено, что базовая норма расхода топлива на пробег автомобиля определяется не только по таблицам, приведенным Минтрансом России, но и на основе данных завода-изготовителя. Они могут быть получены по результатам испытаний WLTP или испытаний по Правилу ООН № 101. Если применяются данные завода-изготовителя, полученные по результатам испытаний по Правилу ООН № 101, их нужно скорректировать на поправочный коэффициент (распоряжение Минтранса России от 20 сентября 2018 г. № ИА-159-р).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4" w:anchor="ixzz5VGxkwugj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http://www.garant.ru/news/1225270/#ixzz5VGxkwugj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ФНС России утвердила новую форму справки 2-НДФЛ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24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Руководитель ФНС России Михаил Мишустин подписал соответствующий приказ (приказ ФНС России от 2 октября 2018 № ММВ-7-11/566@ "Об утверждении формы сведений о доходах физических лиц и суммах налога на доходы физических лиц, порядка заполнения и формата ее представления в электронной форме, а также порядка представления в налоговые органы сведений о доходах физических лиц и суммах налога на доходы физических лиц и сообщения о невозможности удержания налога, о суммах дохода, с которого не удержан налог, и сумме неудержанного налога на доходы физических лиц"). Данный документ утверждает порядок заполнения и формат представления справки. 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Документ предусматривает направление сообщения в налоговый орган о невозможности удержать НДФЛ не только в соответствии с п. 5 ст. 226 Налогового кодекса, но и в соответствии с п. 14 ст. 226.1 НК РФ. Налоговый агент должен будет направить сообщение в налоговую инспекцию по месту своего учета о невозможности удержать налог, например, если налог не удержан при выплате дохода по некоторым операциям с ценными бумагами.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При этом в случае направления такого сообщения поле "признак" в общей части формы справки по-прежнему предусматривается проставление цифры 2. Документ вступает в силу 1 января 2019 года и должен применяться начиная с представления сведений о доходах физлиц и суммах НДФЛ за 2018 год.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5" w:anchor="ixzz5VGaQW1CY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http://www.garant.ru/news/1225283/#ixzz5VGaQW1CY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Правительство РФ предлагает установить перечень допустимых подарков для чиновников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24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Комиссия по законопроектной деятельности поддержала инициативу об отмене правила, согласно которому госслужащим и должностным лицам можно дарить обычные подарки стоимостью не более 3 тыс. руб. (подп. 3 п. 1 ст. 575 Гражданского кодекса). Вместо этого предлагается использовать перечень допустимых для указанных лиц подарков. В него могут войти цветы, полиграфическая продукция, на который есть логотип органа-дарителя или организации. 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Планируется, что чиновники смогут принимать ценные поощрительные подарки от госоргана, органа местного самоуправления, или организации, в которых одаряемый замещает должность. Такие подарки смогут преподносить им вышестоящие органы и организации, а также другие госорганы и организации в специальном порядке, </w:t>
      </w: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>устанавливаемом НПА. При этом если служащий получит подарок, не входящий в число разрешенных, то ему необходимо будет сообщить об этом своему работодателю с тем, чтобы подарок стал федеральной, региональной, муниципальной собственностью или собственность организаций. Об этом сообщается на официальном сайте кабмина.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С 22 октября требования к лицам, проводящим антикоррупционную экспертизу НПА, ужесточились. В частности, ее теперь не могут осуществлять граждане, внесенные в реестр лиц, уволенных в связи с утратой доверия, а также государственные или муниципальные служащие. А с 1 января следующего года средства, появившиеся после совершения коррупционных правонарушений, а также от реализации имущества, полученного в результате таких деяний, будут перечислять в ПФР.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6" w:anchor="ixzz5VGuSCKRK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http://www.garant.ru/news/1225412/#ixzz5VGuSCKRK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Проект поправок в закон об ОСАГО прошел первое чтение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23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17 октября 2018 года Госдумой принят в первом чтении законопроект № 501904-7 "О внесении изменений в отдельные законодательные акты Российской Федерации" по вопросам ОСАГО. Он подготовлен с учетом правоприменительной практики осуществления обязательного страхования гражданской ответственности владельцев транспортных средств, а также с целью приведения положений Федерального закона от 25 апреля 2002 г. № 40-ФЗ "Об обязательном страховании гражданской ответственности владельцев транспортных средств" (далее – Закон об ОСАГО) в соответствие с другими федеральными законами.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Проектом предусмотрено, что для заключения договора ОСАГО в отношении незарегистрированного или арендованного транспортного средства потребуются помимо прочего и документы, подтверждающие право собственности или владения транспортным средством (договор купли-продажи, договор финансовой аренды (лизинга).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В Законе об ОСАГО планируется закрепить, что заключение договора ОСАГО подтверждается предоставлением страхователю составленного страховщиком в письменной форме полиса обязательного страхования по выбору страхователя на бумажном бланке либо в электронном виде. А указание на то, что бланк страхового полиса является документом строгой отчетности, будет исключено. Тем самым, как указано в пояснительной записке к проекту, планируется уравнять в статусе страховые полисы, приобретенные у страховщика и оформленные на бумажном носителе, и страховые полисы в виде электронных документов и определить их как единый вид страховых полисов, составляемых в письменной форме.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Каждому страховому полису обязательного страхования независимо от того, составляется он на бумажном бланке или в электронном виде, будут присваивать, согласно проекту, уникальный номер.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Перечень оснований для предъявления страховщиком, осуществившим страховое возмещение по договору ОСАГО, регрессного требования к лицу, причинившему вред, предлагается дополнить следующими случаями: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вред причинен лицом, отказавшимся от прохождения медицинского освидетельствования на состояние опьянения, а также лицом, нарушившим запрет употреблять алкогольные напитки, наркотические или психотропные вещества после ДТП, к которому оно причастно;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>вред причинен при использовании транспортного средства с прицепом (за исключением принадлежащих гражданам прицепов к легковым автомобилям) в отсутствие в договоре ОСАГО информации о возможности управления транспортным средством с прицепом.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При этом регрессное требование нельзя будет предъявить к виновному в аварии пешеходу, если в результате ДТП он погиб либо его здоровью был причинен вред, а также к его родственникам и наследникам.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Также планируется закрепить обязанность иностранцев, въезжающих в Россию на транспортном средстве, зарегистрированном за рубежом, иметь договор страхования гражданской ответственности, заключенный на условиях Закона об ОСАГО или в рамках международных систем страхования. Следить за исполнением данной обязанности будут сотрудники таможенных органов.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Поправки затрагивают и ряд других моментов.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7" w:anchor="ixzz5VGyPJjEH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http://www.garant.ru/news/1225103/#ixzz5VGyPJjEH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 xml:space="preserve">Выплаты по "советским" вкладам в Сбербанке в следующем году планируется продолжить 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23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Минфин России представил проект соответствующего постановления Правительства РФ для общественного обсуждения и независимой антикоррупционной экспертизы. Документом предполагается перечисление компенсационных выплат по вкладам исходя из их остатка по состоянию на 20 июня 1991 года в течение 2019 года. На продление срока этих выплат проектом федерального бюджета на 2019 год и плановый период 2020-2021 годов заложено 5,5 млрд руб.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Выплата компенсаций осуществляется в следующих размерах:</w:t>
      </w:r>
    </w:p>
    <w:p w:rsidR="001A5C91" w:rsidRPr="001A5C91" w:rsidRDefault="001A5C91" w:rsidP="001A5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в трехкратном размере остатка вкладов в Сбербанке России по состоянию на 20 июня 1991 года – гражданам по 1945 год рождения включительно (в том числе наследникам);</w:t>
      </w:r>
    </w:p>
    <w:p w:rsidR="001A5C91" w:rsidRPr="001A5C91" w:rsidRDefault="001A5C91" w:rsidP="001A5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в двукратном размере остатка вкладов в том же банке по состоянию на ту же дату – гражданам 1946-1991 годов рождения (в том числе наследникам) (абз. 1-2 п. 2 Правил осуществления в 2010 - 2018 годах компенсационных выплат российским гражданам по вкладам в Сбербанке России, являющимся гарантированными сбережениями в соответствии с Федеральным законом "О восстановлении и защите сбережений граждан РФ", далее – правила компенсационных выплат).</w:t>
      </w:r>
    </w:p>
    <w:p w:rsidR="001A5C91" w:rsidRPr="001A5C91" w:rsidRDefault="001A5C91" w:rsidP="001A5C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При этом на размер компенсаций также влияет и срок хранения вкладов, в зависимости от которого применяется определенный коэффициент. К примеру, он равен 0,6 для вкладов, закрытых в 1992 году, и 1 – для вкладов, действующих в настоящее время (абз. 4 п. 2 правил компенсационных выплат).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Независимая антикоррупционная экспертиза и общественное обсуждение завершатся 5 ноября.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18" w:anchor="ixzz5VGbUgWh3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http://www.garant.ru/news/1225099/#ixzz5VGbUgWh3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Зубные техники будут работать по профстандарту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22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Зубной техник оказывает доврачебную медпомощь в области стоматологии. В проекте профстандарта Минтруд России указывает возможное название профессии, описывает трудовые функции и квалификационные требования.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ГАРАНТ.РУ: </w:t>
      </w:r>
      <w:hyperlink r:id="rId19" w:anchor="ixzz5VGpcpzuP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http://www.garant.ru/news/1224967/#ixzz5VGpcpzuP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ФНС России презентовала свою программу профилактики рисков налоговых нарушений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22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Сообщается о выпуске Ведомственной программы профилактики рисков причинения вреда охраняемым законом ценностям ФНС России (приказ ФНС России от 28 сентября 2018 г. № ММВ-7-15/561@).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По данным ФНС России неправильное применение налогового законодательства или ошибки при заполнении отчетности – самые распространенные случаи несоблюдения налогового законодательства. Зачастую налогоплательщики не знают об изменениях либо неверно их трактуют (информация ФНС России от 17 октября 2018 года).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Для профилактики таких нарушений и повышения информированности и налоговой грамотности плательщиков, а также разъяснения спорных или сложных ситуаций, проводятся публичные мероприятия и семинары.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В программе большое внимание уделяется развитию удаленных каналов общения налогоплательщиков с налоговым органом. Для удобства пользователей на официальном сайте </w:t>
      </w:r>
      <w:hyperlink r:id="rId20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www.nalog.ru</w:t>
        </w:r>
      </w:hyperlink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 размещены простые и понятные интерактивные сервисы, с их помощью можно обратиться в ФНС России, сообщить об открытии счета в банке за пределами РФ, без ошибок заполнить налоговую декларацию по НДФЛ и отправить ее в электронном виде. Запущено мобильное приложение, позволяющее быстро выяснить информацию о начислениях или о задолженности, а также оплатить налоги, сборы и страховые взносы.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Программа рассчитана до 2020 года и будет ежегодно обновляться.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21" w:anchor="ixzz5VGgu35Yu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http://www.garant.ru/news/1225050/#ixzz5VGgu35Yu</w:t>
        </w:r>
      </w:hyperlink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001A5C91">
        <w:rPr>
          <w:rFonts w:ascii="Times New Roman" w:eastAsia="Calibri" w:hAnsi="Times New Roman" w:cs="Times New Roman"/>
          <w:b/>
          <w:bCs/>
          <w:color w:val="7030A0"/>
          <w:sz w:val="26"/>
          <w:szCs w:val="26"/>
          <w:u w:val="single"/>
        </w:rPr>
        <w:t>Указание срока уплаты налога "до..." какой-либо даты равнозначно формулировке "не позднее" этой даты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22 октября 2018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Рассматривалось дело о просрочке уплаты авансового платежа по земельному налогу. В местном законе срок уплаты указан так: "за первый квартал – до 30 апреля налогового периода". Спорный платеж был перечислен организацией только в мае, поскольку 30 апреля приходилось на выходной, а первым рабочим днем оказалось 4 мая. Однако ИФНС насчитала налогоплательщику пени с 30 апреля, считая, что формулировка "до 30 апреля" означает, что платеж следовало перечислить 29 апреля. Организация оспорила требование инспекции в суде (определение Судебной коллегии по экономическим спорам Верховного Суда Российской Федерации от 16 октября 2018 г. № 304-КГ18-7786).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Суд первой инстанции согласился с доводами общества. Однако суды апелляционной инстанции и округа пришли к выводу, что при формулировке срока "до определенной даты" действие, для совершения которого установлен этот срок, к названной дате должно быть уже совершено. Поэтому сама дата, до наступления которой должно быть совершено действие, в такой срок не входит. Важно, что все инстанции руководствовались одними и теми же нормами права, в частности, п. 8 ст. 6.1 Налогового кодекса.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По мнению Судебной коллегии ВС РФ, формулировка срока уплаты "до 30 апреля", не позволяет достоверно и без неустранимых сомнений определить, является ли </w:t>
      </w:r>
      <w:r w:rsidRPr="001A5C91">
        <w:rPr>
          <w:rFonts w:ascii="Times New Roman" w:eastAsia="Calibri" w:hAnsi="Times New Roman" w:cs="Times New Roman"/>
          <w:sz w:val="26"/>
          <w:szCs w:val="26"/>
        </w:rPr>
        <w:lastRenderedPageBreak/>
        <w:t>предельным сроком для исполнения данной обязанности 29 либо 30 апреля. В силу п. 7 ст. 3 НК РФ все неустранимые сомнения, противоречия и неясности актов законодательства о налогах и сборах толкуются в пользу налогоплательщика. Поэтому в качестве предельного срока исполнения обязанности по уплате земельного налога за первый квартал в рассматриваемом случае следует считать 30 апреля.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>Такой подход подтверждается правовой позицией, изложенной в Определении Конституционного Суда Российской Федерации от 4 июля 2002 г. № 185-О: формулировки "ежемесячно до 15 числа за прошедший месяц" и "ежемесячно не позднее 15 числа месяца, следующего за отчетным месяцем" являются равнозначными.</w:t>
      </w:r>
    </w:p>
    <w:p w:rsidR="001A5C91" w:rsidRPr="001A5C91" w:rsidRDefault="001A5C91" w:rsidP="001A5C9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C91">
        <w:rPr>
          <w:rFonts w:ascii="Times New Roman" w:eastAsia="Calibri" w:hAnsi="Times New Roman" w:cs="Times New Roman"/>
          <w:sz w:val="26"/>
          <w:szCs w:val="26"/>
        </w:rPr>
        <w:t xml:space="preserve">ГАРАНТ.РУ: </w:t>
      </w:r>
      <w:hyperlink r:id="rId22" w:anchor="ixzz5VH3VSx3Y" w:history="1">
        <w:r w:rsidRPr="001A5C91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http://www.garant.ru/news/1224939/#ixzz5VH3VSx3Y</w:t>
        </w:r>
      </w:hyperlink>
    </w:p>
    <w:p w:rsidR="00A26AF3" w:rsidRDefault="00A26AF3" w:rsidP="00C7506D">
      <w:bookmarkStart w:id="0" w:name="_GoBack"/>
      <w:bookmarkEnd w:id="0"/>
    </w:p>
    <w:sectPr w:rsidR="00A26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AC"/>
    <w:rsid w:val="000E03D1"/>
    <w:rsid w:val="00103354"/>
    <w:rsid w:val="001A5C91"/>
    <w:rsid w:val="00403EA2"/>
    <w:rsid w:val="0050007C"/>
    <w:rsid w:val="0064644F"/>
    <w:rsid w:val="00670BC0"/>
    <w:rsid w:val="00675D19"/>
    <w:rsid w:val="006A20E8"/>
    <w:rsid w:val="00897F66"/>
    <w:rsid w:val="008F7E61"/>
    <w:rsid w:val="009A56C1"/>
    <w:rsid w:val="00A26AF3"/>
    <w:rsid w:val="00C7506D"/>
    <w:rsid w:val="00D92D8C"/>
    <w:rsid w:val="00DD68F8"/>
    <w:rsid w:val="00DF47AC"/>
    <w:rsid w:val="00ED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7DF6-4635-42DB-B606-65248733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news/1225630/" TargetMode="External"/><Relationship Id="rId13" Type="http://schemas.openxmlformats.org/officeDocument/2006/relationships/hyperlink" Target="http://www.garant.ru/news/1225402/" TargetMode="External"/><Relationship Id="rId18" Type="http://schemas.openxmlformats.org/officeDocument/2006/relationships/hyperlink" Target="http://www.garant.ru/news/122509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news/1225050/" TargetMode="External"/><Relationship Id="rId7" Type="http://schemas.openxmlformats.org/officeDocument/2006/relationships/hyperlink" Target="http://www.garant.ru/news/1225651/" TargetMode="External"/><Relationship Id="rId12" Type="http://schemas.openxmlformats.org/officeDocument/2006/relationships/hyperlink" Target="http://www.garant.ru/news/1225593/" TargetMode="External"/><Relationship Id="rId17" Type="http://schemas.openxmlformats.org/officeDocument/2006/relationships/hyperlink" Target="http://www.garant.ru/news/122510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news/1225412/" TargetMode="External"/><Relationship Id="rId20" Type="http://schemas.openxmlformats.org/officeDocument/2006/relationships/hyperlink" Target="http://www.nalog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news/1225702/" TargetMode="External"/><Relationship Id="rId11" Type="http://schemas.openxmlformats.org/officeDocument/2006/relationships/hyperlink" Target="http://www.garant.ru/news/1225466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arant.ru/news/1225723/" TargetMode="External"/><Relationship Id="rId15" Type="http://schemas.openxmlformats.org/officeDocument/2006/relationships/hyperlink" Target="http://www.garant.ru/news/122528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arant.ru/news/1225436/" TargetMode="External"/><Relationship Id="rId19" Type="http://schemas.openxmlformats.org/officeDocument/2006/relationships/hyperlink" Target="http://www.garant.ru/news/1224967/" TargetMode="External"/><Relationship Id="rId4" Type="http://schemas.openxmlformats.org/officeDocument/2006/relationships/hyperlink" Target="http://www.garant.ru/news/1225694/" TargetMode="External"/><Relationship Id="rId9" Type="http://schemas.openxmlformats.org/officeDocument/2006/relationships/hyperlink" Target="http://www.garant.ru/news/1225628/" TargetMode="External"/><Relationship Id="rId14" Type="http://schemas.openxmlformats.org/officeDocument/2006/relationships/hyperlink" Target="http://www.garant.ru/news/1225270/" TargetMode="External"/><Relationship Id="rId22" Type="http://schemas.openxmlformats.org/officeDocument/2006/relationships/hyperlink" Target="http://www.garant.ru/news/12249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ZhaboMA</dc:creator>
  <cp:keywords/>
  <dc:description/>
  <cp:lastModifiedBy>ZhaboMA</cp:lastModifiedBy>
  <cp:revision>10</cp:revision>
  <dcterms:created xsi:type="dcterms:W3CDTF">2018-10-18T11:51:00Z</dcterms:created>
  <dcterms:modified xsi:type="dcterms:W3CDTF">2018-10-29T08:45:00Z</dcterms:modified>
</cp:coreProperties>
</file>